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1" w:rsidRDefault="00F107D1" w:rsidP="004B0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inż. Adam Mroziński</w:t>
      </w:r>
    </w:p>
    <w:p w:rsidR="002D36DE" w:rsidRDefault="0008747E" w:rsidP="004B0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7E">
        <w:rPr>
          <w:rFonts w:ascii="Times New Roman" w:hAnsi="Times New Roman" w:cs="Times New Roman"/>
          <w:b/>
          <w:sz w:val="24"/>
          <w:szCs w:val="24"/>
        </w:rPr>
        <w:t xml:space="preserve">Ustawa o </w:t>
      </w:r>
      <w:r w:rsidR="004B0A77" w:rsidRPr="0008747E">
        <w:rPr>
          <w:rFonts w:ascii="Times New Roman" w:hAnsi="Times New Roman" w:cs="Times New Roman"/>
          <w:b/>
          <w:sz w:val="24"/>
          <w:szCs w:val="24"/>
        </w:rPr>
        <w:t>OZE podpis</w:t>
      </w:r>
      <w:r w:rsidR="005D676E">
        <w:rPr>
          <w:rFonts w:ascii="Times New Roman" w:hAnsi="Times New Roman" w:cs="Times New Roman"/>
          <w:b/>
          <w:sz w:val="24"/>
          <w:szCs w:val="24"/>
        </w:rPr>
        <w:t>ana przez P</w:t>
      </w:r>
      <w:r w:rsidR="004B0A77" w:rsidRPr="0008747E">
        <w:rPr>
          <w:rFonts w:ascii="Times New Roman" w:hAnsi="Times New Roman" w:cs="Times New Roman"/>
          <w:b/>
          <w:sz w:val="24"/>
          <w:szCs w:val="24"/>
        </w:rPr>
        <w:t>rezydenta</w:t>
      </w:r>
      <w:r w:rsidR="008C4E40">
        <w:rPr>
          <w:rFonts w:ascii="Times New Roman" w:hAnsi="Times New Roman" w:cs="Times New Roman"/>
          <w:b/>
          <w:sz w:val="24"/>
          <w:szCs w:val="24"/>
        </w:rPr>
        <w:t xml:space="preserve"> - będzie wsparcie dla </w:t>
      </w:r>
      <w:proofErr w:type="spellStart"/>
      <w:r w:rsidR="008C4E40">
        <w:rPr>
          <w:rFonts w:ascii="Times New Roman" w:hAnsi="Times New Roman" w:cs="Times New Roman"/>
          <w:b/>
          <w:sz w:val="24"/>
          <w:szCs w:val="24"/>
        </w:rPr>
        <w:t>mikroinstalacji</w:t>
      </w:r>
      <w:proofErr w:type="spellEnd"/>
    </w:p>
    <w:p w:rsidR="0008747E" w:rsidRPr="0008747E" w:rsidRDefault="0008747E" w:rsidP="004B0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402379" cy="1295400"/>
            <wp:effectExtent l="19050" t="0" r="0" b="0"/>
            <wp:docPr id="1" name="Obraz 1" descr="Aktualna tre&amp;sacute;&amp;cacute; ustawy o 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a tre&amp;sacute;&amp;cacute; ustawy o O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9" cy="12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77" w:rsidRPr="005D676E" w:rsidRDefault="005D676E" w:rsidP="005D676E">
      <w:pPr>
        <w:jc w:val="both"/>
        <w:rPr>
          <w:rStyle w:val="Pogrubienie"/>
          <w:bCs w:val="0"/>
        </w:rPr>
      </w:pPr>
      <w:r w:rsidRP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dniu 11 marca 2015 roku prezydent Bronisław Komorowski podpisał ustawę o odnawialnych źródłach energii (OZE). Ustawa wejdzie w życie po 30 dniach od jej opublikowania, zaś zapisy dotyczące systemu aukcyjnego i taryf gwarantowanych od 1 stycznia 2016 roku. Wcześniej bo </w:t>
      </w:r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 lutego 2015 roku Sejm odrzucił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niekorzystne dla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Polsce </w:t>
      </w:r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poprawki senackie dotyczące wsparcia dla prosumentów. Tym samym ostatecznie do ustawy o OZE zostanie wpisana poprawka </w:t>
      </w:r>
      <w:proofErr w:type="spellStart"/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prosumencka</w:t>
      </w:r>
      <w:proofErr w:type="spellEnd"/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wniesiona przez posła PSL Artura </w:t>
      </w:r>
      <w:proofErr w:type="spellStart"/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Bramorę</w:t>
      </w:r>
      <w:proofErr w:type="spellEnd"/>
      <w:r w:rsidR="004B0A77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Poprawka ta wprowadza w Polsce system 15-letnich stałych, preferencyjnych stawek za sprzedaż energii z domowych </w:t>
      </w:r>
      <w:proofErr w:type="spellStart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OZE w ramach tzw. systemu taryf gwarantowanych (ang. </w:t>
      </w:r>
      <w:proofErr w:type="spellStart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Feed</w:t>
      </w:r>
      <w:proofErr w:type="spellEnd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-in </w:t>
      </w:r>
      <w:proofErr w:type="spellStart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T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ariffs</w:t>
      </w:r>
      <w:proofErr w:type="spellEnd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). </w:t>
      </w:r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Mechanizm ten (</w:t>
      </w:r>
      <w:proofErr w:type="spellStart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Feed</w:t>
      </w:r>
      <w:proofErr w:type="spellEnd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-in </w:t>
      </w:r>
      <w:proofErr w:type="spellStart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Tariffs</w:t>
      </w:r>
      <w:proofErr w:type="spellEnd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FiT</w:t>
      </w:r>
      <w:proofErr w:type="spellEnd"/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), stosowany jest w kilkunastu krajach Europy. 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Poprawka w ustawie m</w:t>
      </w:r>
      <w:r w:rsidR="002649EE">
        <w:rPr>
          <w:rStyle w:val="Pogrubienie"/>
          <w:rFonts w:ascii="Times New Roman" w:hAnsi="Times New Roman" w:cs="Times New Roman"/>
          <w:b w:val="0"/>
          <w:sz w:val="24"/>
          <w:szCs w:val="24"/>
        </w:rPr>
        <w:t>iał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celu wprowadzenie dla domowych </w:t>
      </w:r>
      <w:proofErr w:type="spellStart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OZE w Polsce o mocy odpowiednio do 3 kW  i do 10 kW tzw. taryf gwarantowanych za sprzedaż do sieci produkowanej przez ni</w:t>
      </w:r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energii, które będą niezmienne przez okres 15 lat. Stałe stawki w ramach polskiego systemu taryf gwarantowanych mają obowiązywać dla każdej domowej instalacji mieszczącej się w w/w przedziale mocy, w tym okresie od momentu jej uruchomienia. Dzięki tym zmianom wprowadza się obowiązek zakupu energii od wytwórcy energii z </w:t>
      </w:r>
      <w:proofErr w:type="spellStart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mocy do 3 kW wykorzystującej różne odnawialne źródła energii po określonej, stałej w okresie 15 lat, cenie (tylko dla pierwszych 300 MW):</w:t>
      </w:r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747E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hydroenergia</w:t>
      </w:r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energia wiatru, </w:t>
      </w:r>
      <w:r w:rsidR="0008747E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5E9D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energia promieniowania słonecznego  za</w:t>
      </w:r>
      <w:r w:rsidR="004B0A77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0,75 zł za 1 kWh</w:t>
      </w:r>
      <w:r w:rsidR="0008747E"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DB1C24" w:rsidRP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A77" w:rsidRP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Dla </w:t>
      </w:r>
      <w:proofErr w:type="spellStart"/>
      <w:r w:rsidR="004B0A77" w:rsidRP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="004B0A77" w:rsidRP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mocy powyżej 3 kW do 10 kW przewidziano natomiast następujące taryfy gwarantowane (tylko dla pierwszych 500 MW):</w:t>
      </w:r>
      <w:r w:rsidR="004B0A77" w:rsidRPr="005D676E">
        <w:rPr>
          <w:rStyle w:val="Pogrubienie"/>
        </w:rPr>
        <w:t> </w:t>
      </w:r>
    </w:p>
    <w:p w:rsidR="004B0A77" w:rsidRPr="0008747E" w:rsidRDefault="004B0A77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47E">
        <w:rPr>
          <w:rFonts w:ascii="Times New Roman" w:eastAsia="Times New Roman" w:hAnsi="Times New Roman" w:cs="Times New Roman"/>
          <w:sz w:val="24"/>
          <w:szCs w:val="24"/>
        </w:rPr>
        <w:t>biogaz rolniczy - 0, 70 zł za 1 kWh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0A77" w:rsidRPr="0008747E" w:rsidRDefault="004B0A77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47E">
        <w:rPr>
          <w:rFonts w:ascii="Times New Roman" w:eastAsia="Times New Roman" w:hAnsi="Times New Roman" w:cs="Times New Roman"/>
          <w:sz w:val="24"/>
          <w:szCs w:val="24"/>
        </w:rPr>
        <w:t>biogaz pozyskany z surowców poch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odzących ze składowisk odpadów -</w:t>
      </w:r>
      <w:r w:rsidRPr="0008747E">
        <w:rPr>
          <w:rFonts w:ascii="Times New Roman" w:eastAsia="Times New Roman" w:hAnsi="Times New Roman" w:cs="Times New Roman"/>
          <w:sz w:val="24"/>
          <w:szCs w:val="24"/>
        </w:rPr>
        <w:t xml:space="preserve"> 0,55 zł za 1 kWh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0A77" w:rsidRPr="0008747E" w:rsidRDefault="004B0A77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47E">
        <w:rPr>
          <w:rFonts w:ascii="Times New Roman" w:eastAsia="Times New Roman" w:hAnsi="Times New Roman" w:cs="Times New Roman"/>
          <w:sz w:val="24"/>
          <w:szCs w:val="24"/>
        </w:rPr>
        <w:t>biogaz pozyskany z surowców pochodzących z oczysz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czalni ścieków 0,45 zł za 1 kWh,</w:t>
      </w:r>
    </w:p>
    <w:p w:rsidR="004B0A77" w:rsidRPr="0008747E" w:rsidRDefault="0008747E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hydroenergia -</w:t>
      </w:r>
      <w:r w:rsidR="004B0A77" w:rsidRPr="0008747E">
        <w:rPr>
          <w:rFonts w:ascii="Times New Roman" w:eastAsia="Times New Roman" w:hAnsi="Times New Roman" w:cs="Times New Roman"/>
          <w:sz w:val="24"/>
          <w:szCs w:val="24"/>
        </w:rPr>
        <w:t xml:space="preserve"> 0,65 zł za 1 kWh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0A77" w:rsidRPr="0008747E" w:rsidRDefault="004B0A77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47E">
        <w:rPr>
          <w:rFonts w:ascii="Times New Roman" w:eastAsia="Times New Roman" w:hAnsi="Times New Roman" w:cs="Times New Roman"/>
          <w:sz w:val="24"/>
          <w:szCs w:val="24"/>
        </w:rPr>
        <w:t>energia wiatru - 0,65 zł za 1 kWh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47E" w:rsidRPr="00BE5E9D" w:rsidRDefault="004B0A77" w:rsidP="0008747E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47E">
        <w:rPr>
          <w:rFonts w:ascii="Times New Roman" w:eastAsia="Times New Roman" w:hAnsi="Times New Roman" w:cs="Times New Roman"/>
          <w:sz w:val="24"/>
          <w:szCs w:val="24"/>
        </w:rPr>
        <w:t>ener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gia promieniowania słonecznego -</w:t>
      </w:r>
      <w:r w:rsidRPr="0008747E">
        <w:rPr>
          <w:rFonts w:ascii="Times New Roman" w:eastAsia="Times New Roman" w:hAnsi="Times New Roman" w:cs="Times New Roman"/>
          <w:sz w:val="24"/>
          <w:szCs w:val="24"/>
        </w:rPr>
        <w:t xml:space="preserve"> 0,65 zł za 1 kWh</w:t>
      </w:r>
      <w:r w:rsidR="00087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76E" w:rsidRDefault="005D676E" w:rsidP="0008747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4B0A77" w:rsidRDefault="004B0A77" w:rsidP="0008747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Rozdział 4. ustawy o OZE poświęcony dopłatom do produkcji zielonej energii ma wejść w życie z początkiem 2016 r. Pozostałe regulacje zawarte w ustawie o OZE wejdą w życie po podpisie prezydenta, publikacji w Dzienniku Ustaw i upłynięciu vacatio legis. </w:t>
      </w:r>
      <w:r w:rsidR="0008747E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nie przeszła zatem j</w:t>
      </w:r>
      <w:r w:rsid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08747E" w:rsidRPr="0008747E">
        <w:rPr>
          <w:rStyle w:val="Pogrubienie"/>
          <w:rFonts w:ascii="Times New Roman" w:hAnsi="Times New Roman" w:cs="Times New Roman"/>
          <w:b w:val="0"/>
          <w:sz w:val="24"/>
          <w:szCs w:val="24"/>
        </w:rPr>
        <w:t>szcze pełnego cyklu ustawodawczego i do momentu podpisania przez Prezydenta RP i wejścia w życie nie stanowi prawa.</w:t>
      </w:r>
    </w:p>
    <w:p w:rsidR="005D676E" w:rsidRDefault="005D676E" w:rsidP="0008747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BE5E9D" w:rsidRDefault="00BE5E9D" w:rsidP="0008747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Warto zdawać sobie sprawę, że 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dzięki zmianom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które wprowadzi ustawa istnieje szansa na poprawę jakości powietrza -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zwiększy się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Polsce 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ilość ekologicznych instalacji grzewczych opartych o OZE.  Inna spraw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jest to, że do tej pory zieloną energię produkowały wyłącznie koncerny energetyczne, a teraz zyski mogą trafić do setek tysięcy Polaków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działających jako prosumenci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. Szacuje się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że w rynek </w:t>
      </w:r>
      <w:proofErr w:type="spellStart"/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będzie zaangażowanych 200-250 tysięcy inwestorów, którzy będą mogli zarabiać dzięki zielonej energii, co doprowadzi do demonopolizacji rynku energii. Kolejny plus to powstanie ok. </w:t>
      </w:r>
      <w:r w:rsidR="005D676E">
        <w:rPr>
          <w:rStyle w:val="Pogrubienie"/>
          <w:rFonts w:ascii="Times New Roman" w:hAnsi="Times New Roman" w:cs="Times New Roman"/>
          <w:b w:val="0"/>
          <w:sz w:val="24"/>
          <w:szCs w:val="24"/>
        </w:rPr>
        <w:t>50-</w:t>
      </w:r>
      <w:r w:rsidRPr="00BE5E9D">
        <w:rPr>
          <w:rStyle w:val="Pogrubienie"/>
          <w:rFonts w:ascii="Times New Roman" w:hAnsi="Times New Roman" w:cs="Times New Roman"/>
          <w:b w:val="0"/>
          <w:sz w:val="24"/>
          <w:szCs w:val="24"/>
        </w:rPr>
        <w:t>70 tysięcy miejsc pracy, w tym głównie (80 proc.) w usługach instalatorskich.</w:t>
      </w:r>
    </w:p>
    <w:p w:rsidR="009E13DB" w:rsidRPr="0008747E" w:rsidRDefault="009E13DB" w:rsidP="0008747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E13DB">
        <w:rPr>
          <w:rStyle w:val="Pogrubienie"/>
          <w:rFonts w:ascii="Times New Roman" w:hAnsi="Times New Roman" w:cs="Times New Roman"/>
          <w:b w:val="0"/>
          <w:sz w:val="24"/>
          <w:szCs w:val="24"/>
        </w:rPr>
        <w:t>Perspektywy wykorzystania zielonej energii w województwie kujawsko-pomorskim były tematem konferencji odbywającej się 4 marca 2015r.w Urzędzie Marszałkowskim w Toruniu  p.n. „Diagnoza stanu – dyskusja problemowa na temat możliwości rozwoju instalacji OZE w województwie kujawsko-pomorskim”. Spotkanie zorganizowały wspólnie Urząd Marszałkowski i Stowarzyszenie TILIA. Jest ono elementem szerszego projektu „Promocja odnawialnych źródeł energii oraz nowoczesnych systemów dywersyfikujących źródła i sposoby ich wykorzystania jako element ochrony środowiska przyrodniczego w województwie kujawsko-pomorskim”. Następna konferencja z tego cyklu odbędzie się 25 czerwca 2015r. na Uniwersytecie Technologiczno-Przyrodniczym im. Jana i Jędrzeja Śniadeckich w Bydgoszczy, na którą już dziś serdecznie zapraszamy.</w:t>
      </w:r>
    </w:p>
    <w:p w:rsidR="004B0A77" w:rsidRPr="00BE5E9D" w:rsidRDefault="004B0A77" w:rsidP="004B0A77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4B0A77" w:rsidRPr="00BE5E9D" w:rsidSect="002D36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FF" w:rsidRDefault="001D4AFF" w:rsidP="00AC1004">
      <w:pPr>
        <w:spacing w:after="0" w:line="240" w:lineRule="auto"/>
      </w:pPr>
      <w:r>
        <w:separator/>
      </w:r>
    </w:p>
  </w:endnote>
  <w:endnote w:type="continuationSeparator" w:id="0">
    <w:p w:rsidR="001D4AFF" w:rsidRDefault="001D4AFF" w:rsidP="00A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-280035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FF" w:rsidRDefault="001D4AFF" w:rsidP="00AC1004">
      <w:pPr>
        <w:spacing w:after="0" w:line="240" w:lineRule="auto"/>
      </w:pPr>
      <w:r>
        <w:separator/>
      </w:r>
    </w:p>
  </w:footnote>
  <w:footnote w:type="continuationSeparator" w:id="0">
    <w:p w:rsidR="001D4AFF" w:rsidRDefault="001D4AFF" w:rsidP="00AC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CA"/>
    <w:multiLevelType w:val="multilevel"/>
    <w:tmpl w:val="ABB0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E39"/>
    <w:multiLevelType w:val="hybridMultilevel"/>
    <w:tmpl w:val="FD2660B6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5E74"/>
    <w:multiLevelType w:val="multilevel"/>
    <w:tmpl w:val="27AE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21A2D"/>
    <w:multiLevelType w:val="hybridMultilevel"/>
    <w:tmpl w:val="EB6AF75C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7"/>
    <w:rsid w:val="0008747E"/>
    <w:rsid w:val="001341D9"/>
    <w:rsid w:val="001D4AFF"/>
    <w:rsid w:val="002649EE"/>
    <w:rsid w:val="002D36DE"/>
    <w:rsid w:val="004B0A77"/>
    <w:rsid w:val="004F371E"/>
    <w:rsid w:val="005135B0"/>
    <w:rsid w:val="005D676E"/>
    <w:rsid w:val="005F50D7"/>
    <w:rsid w:val="006A3058"/>
    <w:rsid w:val="006C3E16"/>
    <w:rsid w:val="007501F9"/>
    <w:rsid w:val="008C4E40"/>
    <w:rsid w:val="009572ED"/>
    <w:rsid w:val="009E13DB"/>
    <w:rsid w:val="00A35412"/>
    <w:rsid w:val="00AC1004"/>
    <w:rsid w:val="00BE5E9D"/>
    <w:rsid w:val="00DB1C24"/>
    <w:rsid w:val="00F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0A77"/>
    <w:rPr>
      <w:i/>
      <w:iCs/>
    </w:rPr>
  </w:style>
  <w:style w:type="character" w:styleId="Pogrubienie">
    <w:name w:val="Strong"/>
    <w:basedOn w:val="Domylnaczcionkaakapitu"/>
    <w:uiPriority w:val="22"/>
    <w:qFormat/>
    <w:rsid w:val="004B0A77"/>
    <w:rPr>
      <w:b/>
      <w:bCs/>
    </w:rPr>
  </w:style>
  <w:style w:type="paragraph" w:styleId="Bezodstpw">
    <w:name w:val="No Spacing"/>
    <w:uiPriority w:val="1"/>
    <w:qFormat/>
    <w:rsid w:val="000874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004"/>
  </w:style>
  <w:style w:type="paragraph" w:styleId="Stopka">
    <w:name w:val="footer"/>
    <w:basedOn w:val="Normalny"/>
    <w:link w:val="StopkaZnak"/>
    <w:uiPriority w:val="99"/>
    <w:unhideWhenUsed/>
    <w:rsid w:val="00AC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0A77"/>
    <w:rPr>
      <w:i/>
      <w:iCs/>
    </w:rPr>
  </w:style>
  <w:style w:type="character" w:styleId="Pogrubienie">
    <w:name w:val="Strong"/>
    <w:basedOn w:val="Domylnaczcionkaakapitu"/>
    <w:uiPriority w:val="22"/>
    <w:qFormat/>
    <w:rsid w:val="004B0A77"/>
    <w:rPr>
      <w:b/>
      <w:bCs/>
    </w:rPr>
  </w:style>
  <w:style w:type="paragraph" w:styleId="Bezodstpw">
    <w:name w:val="No Spacing"/>
    <w:uiPriority w:val="1"/>
    <w:qFormat/>
    <w:rsid w:val="000874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004"/>
  </w:style>
  <w:style w:type="paragraph" w:styleId="Stopka">
    <w:name w:val="footer"/>
    <w:basedOn w:val="Normalny"/>
    <w:link w:val="StopkaZnak"/>
    <w:uiPriority w:val="99"/>
    <w:unhideWhenUsed/>
    <w:rsid w:val="00AC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Rycho Rych</cp:lastModifiedBy>
  <cp:revision>5</cp:revision>
  <dcterms:created xsi:type="dcterms:W3CDTF">2015-06-08T09:38:00Z</dcterms:created>
  <dcterms:modified xsi:type="dcterms:W3CDTF">2016-03-29T11:31:00Z</dcterms:modified>
</cp:coreProperties>
</file>