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6" w:rsidRDefault="003848C6" w:rsidP="00115CE7"/>
    <w:p w:rsidR="00E50A9D" w:rsidRDefault="00E50A9D" w:rsidP="003B5D66">
      <w:pPr>
        <w:pStyle w:val="Akapitzlist"/>
      </w:pPr>
      <w:r>
        <w:t xml:space="preserve">Fakty i mity związane z </w:t>
      </w:r>
      <w:r w:rsidR="00225DB9">
        <w:t>OZE</w:t>
      </w:r>
      <w:r>
        <w:t>.</w:t>
      </w:r>
      <w:r w:rsidR="000A2F24">
        <w:t xml:space="preserve">  </w:t>
      </w:r>
    </w:p>
    <w:p w:rsidR="00780281" w:rsidRDefault="00225DB9" w:rsidP="00780281">
      <w:pPr>
        <w:spacing w:after="0"/>
        <w:ind w:left="357"/>
        <w:jc w:val="both"/>
      </w:pPr>
      <w:r>
        <w:t xml:space="preserve">Odnawialne Źródła Energii (OZE) w coraz większym </w:t>
      </w:r>
      <w:r w:rsidR="00780281">
        <w:t>stopniu</w:t>
      </w:r>
      <w:r>
        <w:t xml:space="preserve"> </w:t>
      </w:r>
      <w:r w:rsidR="00780281">
        <w:t>stanowią istotny</w:t>
      </w:r>
      <w:r>
        <w:t xml:space="preserve"> element debaty dotyczącej przyszłości energetycznej Polski. Wynika to między innymi z kierunku, w którym zmierza polityka energetyczna Unii Europejskiej. Zakłada ona, że </w:t>
      </w:r>
      <w:r w:rsidR="00780281">
        <w:t xml:space="preserve">kraje unijne będą stopniowo zwiększały procent energii uzyskiwanej z OZE (np. ze słońca, wiatru, wody, biomasy, ciepła Ziemi). </w:t>
      </w:r>
    </w:p>
    <w:p w:rsidR="00115CE7" w:rsidRDefault="00780281" w:rsidP="00780281">
      <w:pPr>
        <w:ind w:left="360"/>
        <w:jc w:val="both"/>
      </w:pPr>
      <w:r>
        <w:t xml:space="preserve">W obliczu nadchodzących zmian </w:t>
      </w:r>
      <w:r w:rsidR="0091385F">
        <w:t xml:space="preserve">do opinii publicznej kierowanych jest mnóstwo informacji, które nie zawsze mają rzeczywiste uargumentowanie. World </w:t>
      </w:r>
      <w:proofErr w:type="spellStart"/>
      <w:r w:rsidR="0091385F">
        <w:t>Wide</w:t>
      </w:r>
      <w:proofErr w:type="spellEnd"/>
      <w:r w:rsidR="0091385F">
        <w:t xml:space="preserve"> Fund for Nature (WWF) postanowiła przeanalizować najczęściej pojawiające się mity </w:t>
      </w:r>
      <w:r w:rsidR="00A9295E">
        <w:t xml:space="preserve">dotyczące OZE. Na podstawie analiz przygotowany został raport przedstawiający 10 mitów o odnawialnych źródłach energii. </w:t>
      </w:r>
      <w:r w:rsidR="005E2C90">
        <w:t>Poniżej</w:t>
      </w:r>
      <w:r w:rsidR="00A9295E">
        <w:t xml:space="preserve"> najważniejsze wnioski: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7"/>
        <w:gridCol w:w="4471"/>
      </w:tblGrid>
      <w:tr w:rsidR="009D0854" w:rsidTr="00D16F0D">
        <w:tc>
          <w:tcPr>
            <w:tcW w:w="4606" w:type="dxa"/>
          </w:tcPr>
          <w:p w:rsidR="00D16F0D" w:rsidRPr="00D16F0D" w:rsidRDefault="00D16F0D" w:rsidP="00D16F0D">
            <w:pPr>
              <w:jc w:val="center"/>
              <w:rPr>
                <w:b/>
              </w:rPr>
            </w:pPr>
            <w:r w:rsidRPr="00D16F0D">
              <w:rPr>
                <w:b/>
              </w:rPr>
              <w:t>Mit</w:t>
            </w:r>
          </w:p>
        </w:tc>
        <w:tc>
          <w:tcPr>
            <w:tcW w:w="4606" w:type="dxa"/>
          </w:tcPr>
          <w:p w:rsidR="00D16F0D" w:rsidRPr="00D16F0D" w:rsidRDefault="00D16F0D" w:rsidP="00D16F0D">
            <w:pPr>
              <w:jc w:val="center"/>
              <w:rPr>
                <w:b/>
              </w:rPr>
            </w:pPr>
            <w:r w:rsidRPr="00D16F0D">
              <w:rPr>
                <w:b/>
              </w:rPr>
              <w:t>Stan faktyczny</w:t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Odnawialne źródła energii są zbyt drogie.</w:t>
            </w:r>
          </w:p>
        </w:tc>
        <w:tc>
          <w:tcPr>
            <w:tcW w:w="4606" w:type="dxa"/>
          </w:tcPr>
          <w:p w:rsidR="00D16F0D" w:rsidRDefault="00AE097F" w:rsidP="00DE1357">
            <w:pPr>
              <w:jc w:val="both"/>
            </w:pPr>
            <w:r>
              <w:t>Korzystanie z OZE często wiąże się ze stosunkowo dużymi kosztami montażu. Jednak w dłuższej perspektywie czasowej</w:t>
            </w:r>
            <w:r w:rsidR="00DE1357">
              <w:t xml:space="preserve"> energia z</w:t>
            </w:r>
            <w:r>
              <w:t xml:space="preserve"> OZE oka</w:t>
            </w:r>
            <w:r w:rsidR="00DE1357">
              <w:t>zują się porównywalna cenowo</w:t>
            </w:r>
            <w:r w:rsidR="005E2C90">
              <w:t xml:space="preserve"> lub nawet tańsza</w:t>
            </w:r>
            <w:r w:rsidR="00DE1357">
              <w:t xml:space="preserve"> w stosunku do energii pozyskiwanej w sposób konwencjonalny.</w:t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cs="Georgia"/>
                <w:color w:val="1A1A18"/>
              </w:rPr>
            </w:pPr>
            <w:r w:rsidRPr="00D96C2E">
              <w:rPr>
                <w:rFonts w:cs="Georgia"/>
                <w:color w:val="1A1A18"/>
              </w:rPr>
              <w:t>Energia odnawialna nie potrzebuje wsparcia ekonomicznego, by się rozwijać.</w:t>
            </w:r>
          </w:p>
        </w:tc>
        <w:tc>
          <w:tcPr>
            <w:tcW w:w="4606" w:type="dxa"/>
          </w:tcPr>
          <w:p w:rsidR="00D16F0D" w:rsidRDefault="001D1386" w:rsidP="0082695F">
            <w:pPr>
              <w:jc w:val="both"/>
            </w:pPr>
            <w:r>
              <w:t>Bez wsparcia ekonomicznego i odpowiedniego środowiska prawnego energia odnawialna nie jest w stanie konkurować z technologiami konwencjonalnymi</w:t>
            </w:r>
            <w:r w:rsidR="0082695F">
              <w:t>. Energia pozyskiwana m.in. z paliw kopalnych również jest wspierana</w:t>
            </w:r>
            <w:r w:rsidR="00B06663">
              <w:t xml:space="preserve"> finansowo oraz</w:t>
            </w:r>
            <w:r w:rsidR="0082695F">
              <w:t xml:space="preserve"> prawnie</w:t>
            </w:r>
            <w:r>
              <w:t xml:space="preserve"> </w:t>
            </w:r>
            <w:r w:rsidR="000700EA">
              <w:t>poprzez stosowanie preferencyjnych zapisów.</w:t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Odnawialne źródła energii są tak samo szkodliwe dla środowiska jak konwencjonalne źródła energii.</w:t>
            </w:r>
          </w:p>
        </w:tc>
        <w:tc>
          <w:tcPr>
            <w:tcW w:w="4606" w:type="dxa"/>
          </w:tcPr>
          <w:p w:rsidR="00D16F0D" w:rsidRDefault="00E242A7" w:rsidP="00780281">
            <w:pPr>
              <w:jc w:val="both"/>
            </w:pPr>
            <w:r>
              <w:t xml:space="preserve">Energia pozyskiwana z OZE </w:t>
            </w:r>
            <w:r w:rsidR="00AD4F44">
              <w:t xml:space="preserve">w stosunku do konwencjonalnych źródeł energii </w:t>
            </w:r>
            <w:r>
              <w:t>cechuje się</w:t>
            </w:r>
            <w:r w:rsidR="0065730A">
              <w:t xml:space="preserve"> m.in.</w:t>
            </w:r>
            <w:r>
              <w:t xml:space="preserve"> </w:t>
            </w:r>
            <w:r w:rsidR="008E319A">
              <w:t xml:space="preserve">mniejszą emisją gazów cieplarnianych, niższym zużyciem wody, </w:t>
            </w:r>
            <w:r w:rsidR="0065730A">
              <w:t>brakiem zanieczyszczenia powietrza.</w:t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Wytwarzanie energii ze źródeł odnawialnych pochłania więcej energii niż jest wytwarzane.</w:t>
            </w:r>
          </w:p>
        </w:tc>
        <w:tc>
          <w:tcPr>
            <w:tcW w:w="4606" w:type="dxa"/>
          </w:tcPr>
          <w:p w:rsidR="00D16F0D" w:rsidRDefault="000C0189" w:rsidP="000C0189">
            <w:pPr>
              <w:jc w:val="both"/>
            </w:pPr>
            <w:r>
              <w:t>Analizy i badania przeczą temu twierdzeniu. Potwierdzają natomiast, że w trakcie całego okresu eksploatacji technologie wykorzystywane w OZE w porównaniu do technologii konwencjonalnych dostarczają o wiele więcej energii niż zużywają</w:t>
            </w:r>
            <w:r w:rsidR="00C542F7">
              <w:t xml:space="preserve"> (w trakcie produkcji i eksploatacji)</w:t>
            </w:r>
            <w:r>
              <w:t>.</w:t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tabs>
                <w:tab w:val="center" w:pos="2138"/>
              </w:tabs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Odnawialne źródła energii wymagają zbyt dużego terenu do wytwarzania energii.</w:t>
            </w:r>
          </w:p>
        </w:tc>
        <w:tc>
          <w:tcPr>
            <w:tcW w:w="4606" w:type="dxa"/>
          </w:tcPr>
          <w:p w:rsidR="00D16F0D" w:rsidRDefault="00F419E3" w:rsidP="00F419E3">
            <w:pPr>
              <w:jc w:val="both"/>
            </w:pPr>
            <w:r>
              <w:t>Trudne jest precyzyjne porównanie wymagań związanych z przestrzenią wykorzystywaną do wytwarzania energii z OZE lub w sposób konwencjonalny. Na podstawie dokładnie wyselekcjonowanych przesłanek można stwierdzić, że OZE mają mniejsze potrzeby przestrzenne niż technologie konwencjonalne.</w:t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Hydroenergia jest zazwyczaj szkodliwa dla ludzi i środowiska.</w:t>
            </w:r>
          </w:p>
        </w:tc>
        <w:tc>
          <w:tcPr>
            <w:tcW w:w="4606" w:type="dxa"/>
          </w:tcPr>
          <w:p w:rsidR="00D16F0D" w:rsidRDefault="00361F4A" w:rsidP="00361F4A">
            <w:pPr>
              <w:tabs>
                <w:tab w:val="left" w:pos="3120"/>
              </w:tabs>
              <w:jc w:val="both"/>
            </w:pPr>
            <w:r>
              <w:t>Hydroenergia pozyskiwana w niewłaściwy i niekontrolowany sposób rzeczywiś</w:t>
            </w:r>
            <w:bookmarkStart w:id="0" w:name="_GoBack"/>
            <w:bookmarkEnd w:id="0"/>
            <w:r>
              <w:t xml:space="preserve">cie niesie </w:t>
            </w:r>
            <w:r>
              <w:lastRenderedPageBreak/>
              <w:t>negatywne skutki dla ludzi i środowiska. Aczkolwiek przy stosowaniu odpowiednich praktyk i rozwiązań technologicznych można w znaczący sposób zminimalizować negatywny wpływ i jednocześnie zmaksymalizować liczne korzyści wynikające z pozyskiwania energii z hydroenergetyki.</w:t>
            </w:r>
            <w:r>
              <w:tab/>
            </w:r>
          </w:p>
        </w:tc>
      </w:tr>
      <w:tr w:rsidR="009D0854" w:rsidTr="00D16F0D">
        <w:tc>
          <w:tcPr>
            <w:tcW w:w="4606" w:type="dxa"/>
          </w:tcPr>
          <w:p w:rsidR="00D16F0D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lastRenderedPageBreak/>
              <w:t>Wytwarzanie bioenergii ma negatywny wpływ na klimat i środowisko oraz utrudnia zapewnianie wystarczającej ilości żywności.</w:t>
            </w:r>
          </w:p>
        </w:tc>
        <w:tc>
          <w:tcPr>
            <w:tcW w:w="4606" w:type="dxa"/>
          </w:tcPr>
          <w:p w:rsidR="00D16F0D" w:rsidRDefault="00CD4118" w:rsidP="00CD4118">
            <w:pPr>
              <w:jc w:val="both"/>
            </w:pPr>
            <w:r>
              <w:t>Świadoma, zrównoważona i odpowiednio planowana produkcja bioenergii może korzystnie wpłynąć na dostawy żywności, klimat, środowisko naturalne i życie społeczne.</w:t>
            </w:r>
          </w:p>
        </w:tc>
      </w:tr>
      <w:tr w:rsidR="009D0854" w:rsidTr="00D16F0D">
        <w:tc>
          <w:tcPr>
            <w:tcW w:w="4606" w:type="dxa"/>
          </w:tcPr>
          <w:p w:rsidR="00B7087A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Energia odnawialna nie gwarantuje niezawodnej energii na żądanie.</w:t>
            </w:r>
          </w:p>
        </w:tc>
        <w:tc>
          <w:tcPr>
            <w:tcW w:w="4606" w:type="dxa"/>
          </w:tcPr>
          <w:p w:rsidR="00B7087A" w:rsidRDefault="005F21DC" w:rsidP="005F21DC">
            <w:pPr>
              <w:jc w:val="both"/>
            </w:pPr>
            <w:r>
              <w:t xml:space="preserve">Niezawodność energii pozyskiwanej z OZE można zagwarantować m.in. poprzez odpowiednie: planowanie produkcji energii,   wykorzystywanie technologii, magazynowanie nadwyżek uzyskanej energii. </w:t>
            </w:r>
          </w:p>
        </w:tc>
      </w:tr>
      <w:tr w:rsidR="009D0854" w:rsidTr="00D16F0D">
        <w:tc>
          <w:tcPr>
            <w:tcW w:w="4606" w:type="dxa"/>
          </w:tcPr>
          <w:p w:rsidR="00B7087A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Energia odnawialna nie jest w stanie zastąpić paliw kopalnych w sektorach transportu i budownictwa.</w:t>
            </w:r>
          </w:p>
        </w:tc>
        <w:tc>
          <w:tcPr>
            <w:tcW w:w="4606" w:type="dxa"/>
          </w:tcPr>
          <w:p w:rsidR="00B7087A" w:rsidRDefault="00CB686C" w:rsidP="00CB686C">
            <w:pPr>
              <w:jc w:val="both"/>
            </w:pPr>
            <w:r>
              <w:t>Energia z OZE jest w stanie zastąpić paliwa kopalne we wszystkich sektorach jeśli spełnionych zostanie kilka warunków, takich jak: technologia stosowana w energetyce z OZE będzie nadal rozwijana, poprawiona zostanie efektywność wykorzystywania energii, zwiększy się wykorzystywanie inteligentnych sieci energetycznych.</w:t>
            </w:r>
          </w:p>
        </w:tc>
      </w:tr>
      <w:tr w:rsidR="009D0854" w:rsidTr="00D16F0D">
        <w:tc>
          <w:tcPr>
            <w:tcW w:w="4606" w:type="dxa"/>
          </w:tcPr>
          <w:p w:rsidR="00B7087A" w:rsidRPr="00D96C2E" w:rsidRDefault="00B7087A" w:rsidP="00D96C2E">
            <w:pPr>
              <w:pStyle w:val="Akapitzlist"/>
              <w:numPr>
                <w:ilvl w:val="0"/>
                <w:numId w:val="3"/>
              </w:numPr>
              <w:ind w:left="349" w:hanging="283"/>
              <w:jc w:val="both"/>
            </w:pPr>
            <w:r w:rsidRPr="00D96C2E">
              <w:rPr>
                <w:rFonts w:cs="Georgia"/>
                <w:color w:val="1A1A18"/>
              </w:rPr>
              <w:t>Energia odnawialna jest nieskończona.</w:t>
            </w:r>
          </w:p>
        </w:tc>
        <w:tc>
          <w:tcPr>
            <w:tcW w:w="4606" w:type="dxa"/>
          </w:tcPr>
          <w:p w:rsidR="00B7087A" w:rsidRDefault="0050251B" w:rsidP="009D0854">
            <w:pPr>
              <w:jc w:val="both"/>
            </w:pPr>
            <w:r>
              <w:t xml:space="preserve">Technologia pozyskiwania energii z OZE wykorzystuje materiały, których zasoby są ograniczone. Dotyczy to przede wszystkim metali ziem rzadkich (np. ind, gal, kobalt, lit, neodym, itr). Bardzo ważne zatem jest odpowiednie wykorzystywanie tych surowców </w:t>
            </w:r>
            <w:r w:rsidR="009D0854">
              <w:t>(zarówno w energetyce z OZE jak i w innych dziedzinach gospodarki) oraz późniejsze odzyskiwanie (recykling)</w:t>
            </w:r>
            <w:r>
              <w:t>.</w:t>
            </w:r>
          </w:p>
        </w:tc>
      </w:tr>
    </w:tbl>
    <w:p w:rsidR="00A9295E" w:rsidRDefault="00A9295E" w:rsidP="00780281">
      <w:pPr>
        <w:ind w:left="360"/>
        <w:jc w:val="both"/>
      </w:pPr>
    </w:p>
    <w:p w:rsidR="00760DCB" w:rsidRDefault="00BD138B" w:rsidP="00760DCB">
      <w:pPr>
        <w:spacing w:after="0"/>
        <w:ind w:left="357"/>
        <w:jc w:val="both"/>
      </w:pPr>
      <w:r>
        <w:t xml:space="preserve">Źródło: </w:t>
      </w:r>
    </w:p>
    <w:p w:rsidR="00780281" w:rsidRDefault="00BD138B" w:rsidP="00760DCB">
      <w:pPr>
        <w:spacing w:after="0"/>
        <w:ind w:left="357"/>
        <w:jc w:val="both"/>
      </w:pPr>
      <w:r>
        <w:t xml:space="preserve">WWF „Raport. Demaskowanie mitów: Obalanie mitów o energii odnawialnej”. </w:t>
      </w:r>
    </w:p>
    <w:p w:rsidR="001030E5" w:rsidRDefault="001030E5" w:rsidP="00760DCB">
      <w:pPr>
        <w:spacing w:after="0"/>
        <w:ind w:left="357"/>
        <w:jc w:val="both"/>
      </w:pPr>
    </w:p>
    <w:p w:rsidR="001030E5" w:rsidRDefault="001030E5" w:rsidP="00760DCB">
      <w:pPr>
        <w:spacing w:after="0"/>
        <w:ind w:left="357"/>
        <w:jc w:val="both"/>
      </w:pPr>
      <w:r>
        <w:t>Zredagowano na zlecenie  Stowarzyszenia „TILIA”</w:t>
      </w:r>
    </w:p>
    <w:sectPr w:rsidR="001030E5" w:rsidSect="00DF2B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D5" w:rsidRDefault="003957D5" w:rsidP="0076227E">
      <w:pPr>
        <w:spacing w:after="0" w:line="240" w:lineRule="auto"/>
      </w:pPr>
      <w:r>
        <w:separator/>
      </w:r>
    </w:p>
  </w:endnote>
  <w:endnote w:type="continuationSeparator" w:id="0">
    <w:p w:rsidR="003957D5" w:rsidRDefault="003957D5" w:rsidP="0076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0" w:rsidRDefault="002C7FD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-318135</wp:posOffset>
          </wp:positionV>
          <wp:extent cx="5760720" cy="822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D5" w:rsidRDefault="003957D5" w:rsidP="0076227E">
      <w:pPr>
        <w:spacing w:after="0" w:line="240" w:lineRule="auto"/>
      </w:pPr>
      <w:r>
        <w:separator/>
      </w:r>
    </w:p>
  </w:footnote>
  <w:footnote w:type="continuationSeparator" w:id="0">
    <w:p w:rsidR="003957D5" w:rsidRDefault="003957D5" w:rsidP="0076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540"/>
    <w:multiLevelType w:val="hybridMultilevel"/>
    <w:tmpl w:val="8728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CEA"/>
    <w:multiLevelType w:val="hybridMultilevel"/>
    <w:tmpl w:val="5832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BC1"/>
    <w:multiLevelType w:val="hybridMultilevel"/>
    <w:tmpl w:val="0E644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2A59"/>
    <w:multiLevelType w:val="hybridMultilevel"/>
    <w:tmpl w:val="77B2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14E3"/>
    <w:multiLevelType w:val="hybridMultilevel"/>
    <w:tmpl w:val="77B2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9D"/>
    <w:rsid w:val="000331DC"/>
    <w:rsid w:val="0003322D"/>
    <w:rsid w:val="000700EA"/>
    <w:rsid w:val="000711E2"/>
    <w:rsid w:val="000A2F24"/>
    <w:rsid w:val="000C0189"/>
    <w:rsid w:val="001030E5"/>
    <w:rsid w:val="00115CE7"/>
    <w:rsid w:val="00147FA1"/>
    <w:rsid w:val="0016740F"/>
    <w:rsid w:val="00186E0D"/>
    <w:rsid w:val="001D1386"/>
    <w:rsid w:val="001D4256"/>
    <w:rsid w:val="00225DB9"/>
    <w:rsid w:val="002421CD"/>
    <w:rsid w:val="002C7FD0"/>
    <w:rsid w:val="00361F4A"/>
    <w:rsid w:val="003848C6"/>
    <w:rsid w:val="00390F19"/>
    <w:rsid w:val="003957D5"/>
    <w:rsid w:val="003B5D66"/>
    <w:rsid w:val="003C24FE"/>
    <w:rsid w:val="004307AA"/>
    <w:rsid w:val="004C210D"/>
    <w:rsid w:val="004E1CE3"/>
    <w:rsid w:val="004F201A"/>
    <w:rsid w:val="0050251B"/>
    <w:rsid w:val="00533326"/>
    <w:rsid w:val="005E2C90"/>
    <w:rsid w:val="005F21DC"/>
    <w:rsid w:val="0065730A"/>
    <w:rsid w:val="006601CD"/>
    <w:rsid w:val="00760DCB"/>
    <w:rsid w:val="0076227E"/>
    <w:rsid w:val="00773A45"/>
    <w:rsid w:val="00780281"/>
    <w:rsid w:val="007C162D"/>
    <w:rsid w:val="007E34AE"/>
    <w:rsid w:val="008214DB"/>
    <w:rsid w:val="008229BA"/>
    <w:rsid w:val="0082695F"/>
    <w:rsid w:val="008E319A"/>
    <w:rsid w:val="0091385F"/>
    <w:rsid w:val="00960C5A"/>
    <w:rsid w:val="009A4FD9"/>
    <w:rsid w:val="009B4AD2"/>
    <w:rsid w:val="009D0854"/>
    <w:rsid w:val="00A9295E"/>
    <w:rsid w:val="00AD4F44"/>
    <w:rsid w:val="00AE097F"/>
    <w:rsid w:val="00B06663"/>
    <w:rsid w:val="00B0761B"/>
    <w:rsid w:val="00B146D8"/>
    <w:rsid w:val="00B7087A"/>
    <w:rsid w:val="00B80F2C"/>
    <w:rsid w:val="00BD138B"/>
    <w:rsid w:val="00C10748"/>
    <w:rsid w:val="00C24C16"/>
    <w:rsid w:val="00C312FB"/>
    <w:rsid w:val="00C542F7"/>
    <w:rsid w:val="00C87D64"/>
    <w:rsid w:val="00C959A2"/>
    <w:rsid w:val="00CB4473"/>
    <w:rsid w:val="00CB686C"/>
    <w:rsid w:val="00CD4118"/>
    <w:rsid w:val="00D16F0D"/>
    <w:rsid w:val="00D9541B"/>
    <w:rsid w:val="00D96C2E"/>
    <w:rsid w:val="00DE1357"/>
    <w:rsid w:val="00DF21E8"/>
    <w:rsid w:val="00DF2B4A"/>
    <w:rsid w:val="00E054C1"/>
    <w:rsid w:val="00E13EAF"/>
    <w:rsid w:val="00E242A7"/>
    <w:rsid w:val="00E50A9D"/>
    <w:rsid w:val="00E538F3"/>
    <w:rsid w:val="00EC1741"/>
    <w:rsid w:val="00F37931"/>
    <w:rsid w:val="00F419E3"/>
    <w:rsid w:val="00F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A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2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2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D0"/>
  </w:style>
  <w:style w:type="paragraph" w:styleId="Stopka">
    <w:name w:val="footer"/>
    <w:basedOn w:val="Normalny"/>
    <w:link w:val="StopkaZnak"/>
    <w:uiPriority w:val="99"/>
    <w:unhideWhenUsed/>
    <w:rsid w:val="002C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D0"/>
  </w:style>
  <w:style w:type="paragraph" w:styleId="Tekstdymka">
    <w:name w:val="Balloon Text"/>
    <w:basedOn w:val="Normalny"/>
    <w:link w:val="TekstdymkaZnak"/>
    <w:uiPriority w:val="99"/>
    <w:semiHidden/>
    <w:unhideWhenUsed/>
    <w:rsid w:val="002C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A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2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2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D0"/>
  </w:style>
  <w:style w:type="paragraph" w:styleId="Stopka">
    <w:name w:val="footer"/>
    <w:basedOn w:val="Normalny"/>
    <w:link w:val="StopkaZnak"/>
    <w:uiPriority w:val="99"/>
    <w:unhideWhenUsed/>
    <w:rsid w:val="002C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D0"/>
  </w:style>
  <w:style w:type="paragraph" w:styleId="Tekstdymka">
    <w:name w:val="Balloon Text"/>
    <w:basedOn w:val="Normalny"/>
    <w:link w:val="TekstdymkaZnak"/>
    <w:uiPriority w:val="99"/>
    <w:semiHidden/>
    <w:unhideWhenUsed/>
    <w:rsid w:val="002C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7DC1-DD3E-496C-93C6-776AF1B0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ECWM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Rycho Rych</cp:lastModifiedBy>
  <cp:revision>5</cp:revision>
  <cp:lastPrinted>2015-06-23T07:30:00Z</cp:lastPrinted>
  <dcterms:created xsi:type="dcterms:W3CDTF">2015-10-08T07:25:00Z</dcterms:created>
  <dcterms:modified xsi:type="dcterms:W3CDTF">2016-03-29T11:36:00Z</dcterms:modified>
</cp:coreProperties>
</file>