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402" w:rsidRPr="00AA044A" w:rsidRDefault="00201776" w:rsidP="004C77A5">
      <w:pPr>
        <w:spacing w:before="120" w:after="120" w:line="276" w:lineRule="auto"/>
        <w:jc w:val="both"/>
        <w:outlineLvl w:val="0"/>
        <w:rPr>
          <w:color w:val="000000" w:themeColor="text1"/>
          <w:sz w:val="20"/>
          <w:szCs w:val="20"/>
        </w:rPr>
      </w:pPr>
      <w:bookmarkStart w:id="0" w:name="_GoBack"/>
      <w:bookmarkEnd w:id="0"/>
      <w:r w:rsidRPr="00AA044A">
        <w:rPr>
          <w:color w:val="000000" w:themeColor="text1"/>
          <w:sz w:val="20"/>
          <w:szCs w:val="20"/>
        </w:rPr>
        <w:t>Joanna KAWA</w:t>
      </w:r>
      <w:r>
        <w:rPr>
          <w:rStyle w:val="Odwoanieprzypisudolnego"/>
          <w:color w:val="000000" w:themeColor="text1"/>
          <w:sz w:val="20"/>
          <w:szCs w:val="20"/>
        </w:rPr>
        <w:footnoteReference w:id="1"/>
      </w:r>
      <w:r w:rsidRPr="00AA044A">
        <w:rPr>
          <w:color w:val="000000" w:themeColor="text1"/>
          <w:sz w:val="20"/>
          <w:szCs w:val="20"/>
        </w:rPr>
        <w:t xml:space="preserve"> </w:t>
      </w:r>
    </w:p>
    <w:p w:rsidR="00601B92" w:rsidRDefault="00601B92" w:rsidP="00666E24">
      <w:pPr>
        <w:spacing w:before="120" w:after="120" w:line="276" w:lineRule="auto"/>
        <w:jc w:val="center"/>
        <w:rPr>
          <w:b/>
          <w:color w:val="000000" w:themeColor="text1"/>
          <w:sz w:val="28"/>
          <w:szCs w:val="20"/>
        </w:rPr>
      </w:pPr>
    </w:p>
    <w:p w:rsidR="00680A27" w:rsidRPr="001B47AF" w:rsidRDefault="001B47AF" w:rsidP="001B47AF">
      <w:pPr>
        <w:spacing w:before="120" w:after="120" w:line="276" w:lineRule="auto"/>
        <w:jc w:val="center"/>
        <w:rPr>
          <w:b/>
          <w:sz w:val="28"/>
          <w:szCs w:val="28"/>
        </w:rPr>
      </w:pPr>
      <w:r w:rsidRPr="001B47AF">
        <w:rPr>
          <w:b/>
          <w:sz w:val="28"/>
          <w:szCs w:val="28"/>
        </w:rPr>
        <w:t>Przegląd programów wsparcia instalacji OZE w województwie kujawsko-pomorskim - Ustawa OZE po zmianach.</w:t>
      </w:r>
    </w:p>
    <w:p w:rsidR="001B47AF" w:rsidRDefault="001B47AF" w:rsidP="00666E24">
      <w:pPr>
        <w:spacing w:before="120" w:after="120" w:line="276" w:lineRule="auto"/>
        <w:jc w:val="both"/>
        <w:rPr>
          <w:color w:val="000000" w:themeColor="text1"/>
          <w:sz w:val="20"/>
          <w:szCs w:val="20"/>
        </w:rPr>
      </w:pPr>
    </w:p>
    <w:p w:rsidR="00C65555" w:rsidRDefault="00601B92" w:rsidP="00666E24">
      <w:pPr>
        <w:pStyle w:val="ZwykyTekst"/>
        <w:tabs>
          <w:tab w:val="right" w:pos="-6379"/>
        </w:tabs>
        <w:spacing w:before="120" w:after="120" w:line="276" w:lineRule="auto"/>
        <w:ind w:firstLine="0"/>
        <w:rPr>
          <w:sz w:val="18"/>
          <w:szCs w:val="18"/>
        </w:rPr>
      </w:pPr>
      <w:r w:rsidRPr="004C00CF">
        <w:rPr>
          <w:b/>
          <w:sz w:val="18"/>
          <w:szCs w:val="18"/>
        </w:rPr>
        <w:t>Abstrakt:</w:t>
      </w:r>
      <w:r w:rsidRPr="004C00CF">
        <w:rPr>
          <w:sz w:val="18"/>
          <w:szCs w:val="18"/>
        </w:rPr>
        <w:t xml:space="preserve"> </w:t>
      </w:r>
      <w:r w:rsidR="0021078A">
        <w:rPr>
          <w:sz w:val="18"/>
          <w:szCs w:val="18"/>
        </w:rPr>
        <w:t>Ważnym elementem rozwoju OZE w Polsce są instrumenty finansowe które wpływają na rozwój poszczególnych technologii OZE w województwach. Programy wsparcia są dostępne dla wielu grup podmiotów i są różnie zintensyfikowane w zależności od regionu Polski</w:t>
      </w:r>
      <w:r w:rsidR="00036069">
        <w:rPr>
          <w:sz w:val="18"/>
          <w:szCs w:val="18"/>
        </w:rPr>
        <w:t>.</w:t>
      </w:r>
      <w:r w:rsidR="0021078A">
        <w:rPr>
          <w:sz w:val="18"/>
          <w:szCs w:val="18"/>
        </w:rPr>
        <w:t xml:space="preserve"> Niniejszy artykuł jest syntezą dostępnych programów wsparcia dostępnych w województwie kujawsko – pomorskim</w:t>
      </w:r>
      <w:r w:rsidR="00EA0C2A">
        <w:rPr>
          <w:sz w:val="18"/>
          <w:szCs w:val="18"/>
        </w:rPr>
        <w:t xml:space="preserve"> opartych na kierunku rozwoju województwa i środkach pochodzących z PRO</w:t>
      </w:r>
      <w:r w:rsidR="0021078A">
        <w:rPr>
          <w:sz w:val="18"/>
          <w:szCs w:val="18"/>
        </w:rPr>
        <w:t>.</w:t>
      </w:r>
      <w:r w:rsidR="00036069">
        <w:rPr>
          <w:sz w:val="18"/>
          <w:szCs w:val="18"/>
        </w:rPr>
        <w:t xml:space="preserve"> </w:t>
      </w:r>
      <w:r w:rsidR="006147E5">
        <w:rPr>
          <w:sz w:val="18"/>
          <w:szCs w:val="18"/>
        </w:rPr>
        <w:t xml:space="preserve"> </w:t>
      </w:r>
      <w:r w:rsidR="00480F9D">
        <w:rPr>
          <w:sz w:val="18"/>
          <w:szCs w:val="18"/>
        </w:rPr>
        <w:t xml:space="preserve">    </w:t>
      </w:r>
      <w:r w:rsidR="007938B2">
        <w:rPr>
          <w:sz w:val="18"/>
          <w:szCs w:val="18"/>
        </w:rPr>
        <w:t xml:space="preserve">  </w:t>
      </w:r>
      <w:r w:rsidR="00D67B01">
        <w:rPr>
          <w:sz w:val="18"/>
          <w:szCs w:val="18"/>
        </w:rPr>
        <w:t xml:space="preserve"> </w:t>
      </w:r>
    </w:p>
    <w:p w:rsidR="00E5751A" w:rsidRDefault="00E5751A" w:rsidP="00666E24">
      <w:pPr>
        <w:pStyle w:val="ZwykyTekst"/>
        <w:tabs>
          <w:tab w:val="right" w:pos="-6379"/>
        </w:tabs>
        <w:spacing w:before="120" w:after="120" w:line="276" w:lineRule="auto"/>
        <w:ind w:firstLine="0"/>
        <w:rPr>
          <w:sz w:val="18"/>
          <w:szCs w:val="18"/>
        </w:rPr>
      </w:pPr>
      <w:r w:rsidRPr="00D92BA5">
        <w:rPr>
          <w:b/>
          <w:sz w:val="18"/>
          <w:szCs w:val="18"/>
        </w:rPr>
        <w:t>Słowa</w:t>
      </w:r>
      <w:r w:rsidRPr="00D77B4F">
        <w:rPr>
          <w:b/>
          <w:sz w:val="18"/>
          <w:szCs w:val="18"/>
        </w:rPr>
        <w:t xml:space="preserve"> </w:t>
      </w:r>
      <w:r w:rsidRPr="00D92BA5">
        <w:rPr>
          <w:b/>
          <w:sz w:val="18"/>
          <w:szCs w:val="18"/>
        </w:rPr>
        <w:t>kluczowe</w:t>
      </w:r>
      <w:r w:rsidRPr="00D77B4F">
        <w:rPr>
          <w:b/>
          <w:sz w:val="18"/>
          <w:szCs w:val="18"/>
        </w:rPr>
        <w:t>:</w:t>
      </w:r>
      <w:r>
        <w:rPr>
          <w:sz w:val="18"/>
          <w:szCs w:val="18"/>
        </w:rPr>
        <w:t xml:space="preserve"> </w:t>
      </w:r>
      <w:r w:rsidR="00C7100E">
        <w:rPr>
          <w:sz w:val="18"/>
          <w:szCs w:val="18"/>
        </w:rPr>
        <w:t>ustawa OZE</w:t>
      </w:r>
      <w:r w:rsidR="00480F9D">
        <w:rPr>
          <w:sz w:val="18"/>
          <w:szCs w:val="18"/>
        </w:rPr>
        <w:t>, Prosument</w:t>
      </w:r>
      <w:r w:rsidR="002F39A3">
        <w:rPr>
          <w:sz w:val="18"/>
          <w:szCs w:val="18"/>
        </w:rPr>
        <w:t>, Lemur, Kawka, Bocian</w:t>
      </w:r>
    </w:p>
    <w:p w:rsidR="00C7100E" w:rsidRDefault="00C7100E" w:rsidP="00666E24">
      <w:pPr>
        <w:pStyle w:val="Default"/>
        <w:spacing w:before="120" w:after="120" w:line="276" w:lineRule="auto"/>
        <w:jc w:val="both"/>
        <w:rPr>
          <w:rFonts w:ascii="Times New Roman" w:hAnsi="Times New Roman" w:cs="Times New Roman"/>
          <w:b/>
          <w:bCs/>
          <w:color w:val="000000" w:themeColor="text1"/>
          <w:szCs w:val="20"/>
        </w:rPr>
      </w:pPr>
    </w:p>
    <w:p w:rsidR="005B3623" w:rsidRPr="00D73B96" w:rsidRDefault="00E5751A" w:rsidP="00D73B96">
      <w:pPr>
        <w:pStyle w:val="Default"/>
        <w:spacing w:after="120" w:line="276" w:lineRule="auto"/>
        <w:jc w:val="both"/>
        <w:outlineLvl w:val="0"/>
        <w:rPr>
          <w:rFonts w:ascii="Times New Roman" w:hAnsi="Times New Roman" w:cs="Times New Roman"/>
          <w:b/>
          <w:bCs/>
          <w:color w:val="000000" w:themeColor="text1"/>
          <w:sz w:val="20"/>
          <w:szCs w:val="20"/>
        </w:rPr>
      </w:pPr>
      <w:r w:rsidRPr="00D73B96">
        <w:rPr>
          <w:rFonts w:ascii="Times New Roman" w:hAnsi="Times New Roman" w:cs="Times New Roman"/>
          <w:b/>
          <w:bCs/>
          <w:color w:val="000000" w:themeColor="text1"/>
          <w:sz w:val="20"/>
          <w:szCs w:val="20"/>
        </w:rPr>
        <w:t>Wprowadzenie</w:t>
      </w:r>
    </w:p>
    <w:p w:rsidR="00D73B96" w:rsidRPr="00D73B96" w:rsidRDefault="0021078A" w:rsidP="00A0632E">
      <w:pPr>
        <w:spacing w:after="120" w:line="276" w:lineRule="auto"/>
        <w:ind w:firstLine="708"/>
        <w:jc w:val="both"/>
        <w:rPr>
          <w:sz w:val="20"/>
          <w:szCs w:val="20"/>
        </w:rPr>
      </w:pPr>
      <w:r>
        <w:rPr>
          <w:sz w:val="20"/>
          <w:szCs w:val="20"/>
        </w:rPr>
        <w:t xml:space="preserve">Wraz z wprowadzeniem ustawy OZE do polskiego sytemu prawnego która implementowała założenia wynikające z dyrektywy 2009/28/WE, koniecznym było wprowadzenie systemów wsparcia dla technologii zielonych. </w:t>
      </w:r>
      <w:r w:rsidR="00D73B96" w:rsidRPr="00D73B96">
        <w:rPr>
          <w:sz w:val="20"/>
          <w:szCs w:val="20"/>
        </w:rPr>
        <w:t xml:space="preserve">Dostępne źródła dofinansowania inwestycji wspierających rozwój budownictwa efektywnego energetycznie oraz wykorzystania odnawialnych źródeł energii. Ważny jest odpowiedni podział dostępnych środków na poszczególne grupy beneficjentów i określone inwestycje. Poniżej przedstawiono dostępność środków finansowych w ramach poszczególnych programów i możliwe źródła finansowania oraz uwzględniono wymagania krajowe w zakresie efektywności energetycznej  jako elementu </w:t>
      </w:r>
      <w:r w:rsidR="00D73B96" w:rsidRPr="00D73B96">
        <w:rPr>
          <w:rFonts w:eastAsia="ArialMT"/>
          <w:color w:val="000000"/>
          <w:sz w:val="20"/>
          <w:szCs w:val="20"/>
        </w:rPr>
        <w:t>strategii państwa jest promocja oraz tworzenie odpowiednich regulacji dotyczących oszczędności energii oraz ochrony środowiska.</w:t>
      </w:r>
    </w:p>
    <w:p w:rsidR="00D73B96" w:rsidRDefault="00D73B96" w:rsidP="00A0632E">
      <w:pPr>
        <w:autoSpaceDE w:val="0"/>
        <w:autoSpaceDN w:val="0"/>
        <w:adjustRightInd w:val="0"/>
        <w:spacing w:after="120" w:line="276" w:lineRule="auto"/>
        <w:ind w:firstLine="708"/>
        <w:jc w:val="both"/>
        <w:rPr>
          <w:rFonts w:eastAsia="ArialMT"/>
          <w:sz w:val="20"/>
          <w:szCs w:val="20"/>
        </w:rPr>
      </w:pPr>
      <w:r w:rsidRPr="00D73B96">
        <w:rPr>
          <w:rFonts w:eastAsia="ArialMT"/>
          <w:sz w:val="20"/>
          <w:szCs w:val="20"/>
        </w:rPr>
        <w:t xml:space="preserve">Wymienione poniżej działania dotyczące dofinansowania inwestycji zmierzających do poprawy efektywności energetycznej w budynkach są głównym, ale nie jedynym, źródłem finansowego wsparcia inwestycji wspierających rozwój budownictwa efektywnego energetycznie oraz wykorzystania odnawialnych źródeł energii. Ważny jest odpowiedni podział dostępnych środków na poszczególne grupy beneficjentów i określone inwestycje. Oprócz określenia samych grup beneficjentów ważnym jest również wskazanie samych źródeł finansowania działań, a co za tym idzie mechanizmów z jakich będą mogli korzystać potencjalni zainteresowani beneficjenci. </w:t>
      </w:r>
    </w:p>
    <w:p w:rsidR="00D73B96" w:rsidRDefault="00D73B96" w:rsidP="00D73B96">
      <w:pPr>
        <w:spacing w:after="120" w:line="276" w:lineRule="auto"/>
        <w:jc w:val="both"/>
        <w:rPr>
          <w:sz w:val="20"/>
          <w:szCs w:val="20"/>
        </w:rPr>
      </w:pPr>
      <w:r w:rsidRPr="00D73B96">
        <w:rPr>
          <w:sz w:val="20"/>
          <w:szCs w:val="20"/>
        </w:rPr>
        <w:t xml:space="preserve">Każde ze powyższych źródeł zawiera kilka instrumentów z których będą mogli korzystać beneficjenci. Główny strumień dostępnych środków finansowych będzie dostępny w ramach instrumentów Narodowego Funduszu Ochrony Środowiska i Gospodarki Wodnej – NFOŚiGW. Gdzie można wymienić kilka ważnych dla beneficjentów programów. </w:t>
      </w:r>
    </w:p>
    <w:p w:rsidR="00702B11" w:rsidRPr="00657899" w:rsidRDefault="00702B11" w:rsidP="00D73B96">
      <w:pPr>
        <w:spacing w:after="120" w:line="276" w:lineRule="auto"/>
        <w:jc w:val="both"/>
        <w:rPr>
          <w:color w:val="000000" w:themeColor="text1"/>
          <w:sz w:val="20"/>
          <w:szCs w:val="20"/>
        </w:rPr>
      </w:pPr>
      <w:r w:rsidRPr="00657899">
        <w:rPr>
          <w:color w:val="000000" w:themeColor="text1"/>
          <w:sz w:val="20"/>
          <w:szCs w:val="20"/>
        </w:rPr>
        <w:lastRenderedPageBreak/>
        <w:t xml:space="preserve">Województwo kujawsko-pomorskie wyróżnia na tle pozostałych regionów w zakresie produkcji energii ze źródeł odnawialnych. W województwie istnieją 303 jednostki wytwarzania energii ze źródeł odnawialnych, co stanowi 15,6 % ogółu jednostek OZE w kraju. </w:t>
      </w:r>
    </w:p>
    <w:p w:rsidR="00702B11" w:rsidRPr="00657899" w:rsidRDefault="00702B11" w:rsidP="00D73B96">
      <w:pPr>
        <w:spacing w:after="120" w:line="276" w:lineRule="auto"/>
        <w:jc w:val="both"/>
        <w:rPr>
          <w:color w:val="000000" w:themeColor="text1"/>
          <w:sz w:val="20"/>
          <w:szCs w:val="20"/>
        </w:rPr>
      </w:pPr>
      <w:r w:rsidRPr="00657899">
        <w:rPr>
          <w:color w:val="000000" w:themeColor="text1"/>
          <w:sz w:val="20"/>
          <w:szCs w:val="20"/>
        </w:rPr>
        <w:t xml:space="preserve">Moc tych jednostek to 628 MW, co stanowi 11,4 % mocy jednostek OZE w kraju. Województwo wyróżnia się szczególnie w produkcji energii z wiatru posiadając 226 siłowni wiatrowych, stanowiące blisko 27 % wszystkich siłowni zlokalizowanych na lądzie w kraju. Daje to 1 miejsce w kraju. Moc tychże siłowni stanowi zaś blisko 9 % mocy istniejących w Polsce siłowni wiatrowych na lądzie. </w:t>
      </w:r>
    </w:p>
    <w:p w:rsidR="00702B11" w:rsidRPr="00657899" w:rsidRDefault="00702B11" w:rsidP="00D73B96">
      <w:pPr>
        <w:spacing w:after="120" w:line="276" w:lineRule="auto"/>
        <w:jc w:val="both"/>
        <w:rPr>
          <w:color w:val="000000" w:themeColor="text1"/>
          <w:sz w:val="20"/>
          <w:szCs w:val="20"/>
        </w:rPr>
      </w:pPr>
      <w:r w:rsidRPr="00657899">
        <w:rPr>
          <w:color w:val="000000" w:themeColor="text1"/>
          <w:sz w:val="20"/>
          <w:szCs w:val="20"/>
        </w:rPr>
        <w:t xml:space="preserve">Pozytywnie województwo wyróżnia się również w odniesieniu do produkcji energii z wody, posiadając 52 elektrownie wodne o mocy do 5 MW oraz 3 elektrownie o mocy pow. 5 MW (z czego 2 pow. 10 MW)13. Niewystarczające jest z kolei wykorzystanie energii odnawialnej produkowanej na bazie płodów rolnych pomimo, że w województwie kujawsko-pomorskim, w zasadzie na terenie całego regionu, istnieją korzystne warunki dla tej produkcji, w tym przede wszystkim: biopaliw wyprodukowanych z rzepaku, nadwyżek słomy z produkcji rolniczej, uprawy roślin energetycznych oraz biogazu pochodzenia rolniczego. </w:t>
      </w:r>
    </w:p>
    <w:p w:rsidR="00702B11" w:rsidRPr="00657899" w:rsidRDefault="00702B11" w:rsidP="00D73B96">
      <w:pPr>
        <w:spacing w:after="120" w:line="276" w:lineRule="auto"/>
        <w:jc w:val="both"/>
        <w:rPr>
          <w:color w:val="000000" w:themeColor="text1"/>
          <w:sz w:val="20"/>
          <w:szCs w:val="20"/>
        </w:rPr>
      </w:pPr>
      <w:r w:rsidRPr="00657899">
        <w:rPr>
          <w:color w:val="000000" w:themeColor="text1"/>
          <w:sz w:val="20"/>
          <w:szCs w:val="20"/>
        </w:rPr>
        <w:t xml:space="preserve">Pomimo zróżnicowań wewnątrz wojewódzkich oraz pewnych ograniczeń o charakterze prawnym, przestrzennym i przyrodniczym (które wynikają np. ze zróżnicowania pod względem wymagań glebowych czy ograniczeń związanych z lokalizacją plantacji roślin energetycznych na obszarach zmeliorowanych), potencjał regionu w tej dziedzinie jest dosyć znaczący. </w:t>
      </w:r>
    </w:p>
    <w:p w:rsidR="00657899" w:rsidRPr="00657899" w:rsidRDefault="00702B11" w:rsidP="00D73B96">
      <w:pPr>
        <w:spacing w:after="120" w:line="276" w:lineRule="auto"/>
        <w:jc w:val="both"/>
        <w:rPr>
          <w:color w:val="000000" w:themeColor="text1"/>
          <w:sz w:val="20"/>
          <w:szCs w:val="20"/>
        </w:rPr>
      </w:pPr>
      <w:r w:rsidRPr="00657899">
        <w:rPr>
          <w:color w:val="000000" w:themeColor="text1"/>
          <w:sz w:val="20"/>
          <w:szCs w:val="20"/>
        </w:rPr>
        <w:t xml:space="preserve">W odniesieniu do instalacji pozyskujących energię ze słońca, obszar województwa nie posiada wystarczającego udziału energii bezpośredniego promieniowania słonecznego dla tego typu instalacji. Koszt jednostki energii byłby w tym przypadku zbyt wysoki. Rozwój energetyki solarnej w miejskich instalacjach ciepłowniczych jest mało prawdopodobny ze względu m.in. na problemy z lokalizacją dużych pól kolektorów słonecznych na terenach zurbanizowanych oraz ze względu stosunkowo duże straty przy przesyle ciepła. </w:t>
      </w:r>
    </w:p>
    <w:p w:rsidR="00657899" w:rsidRPr="00657899" w:rsidRDefault="00702B11" w:rsidP="00D73B96">
      <w:pPr>
        <w:spacing w:after="120" w:line="276" w:lineRule="auto"/>
        <w:jc w:val="both"/>
        <w:rPr>
          <w:color w:val="000000" w:themeColor="text1"/>
          <w:sz w:val="20"/>
          <w:szCs w:val="20"/>
        </w:rPr>
      </w:pPr>
      <w:r w:rsidRPr="00657899">
        <w:rPr>
          <w:color w:val="000000" w:themeColor="text1"/>
          <w:sz w:val="20"/>
          <w:szCs w:val="20"/>
        </w:rPr>
        <w:t xml:space="preserve">Podobna sytuacja występuje w przypadku elektroenergetyki. W warunkach klimatycznych województwa i całego kraju budowa dużej elektrowni słonecznej jest przedsięwzięciem nieopłacalnym i nierealnym z punktu widzenia dostępnych (na poziomie realnego wykorzystania rynkowego) technologii. Dlatego zakłada się rozwój systemów rozproszonych, zlokalizowanych bezpośrednio u odbiorcy końcowego. </w:t>
      </w:r>
    </w:p>
    <w:p w:rsidR="00657899" w:rsidRPr="00657899" w:rsidRDefault="00702B11" w:rsidP="00D73B96">
      <w:pPr>
        <w:spacing w:after="120" w:line="276" w:lineRule="auto"/>
        <w:jc w:val="both"/>
        <w:rPr>
          <w:color w:val="000000" w:themeColor="text1"/>
          <w:sz w:val="20"/>
          <w:szCs w:val="20"/>
        </w:rPr>
      </w:pPr>
      <w:r w:rsidRPr="00657899">
        <w:rPr>
          <w:color w:val="000000" w:themeColor="text1"/>
          <w:sz w:val="20"/>
          <w:szCs w:val="20"/>
        </w:rPr>
        <w:t xml:space="preserve">W województwie zauważa się wzrost ilości montowanych kolektorów słonecznych. W lutym 2014 r. w województwie funkcjonowało 1705 instalacji wspartych z programu NFOŚiGW, co stanowi stosunkowo niskie wartości w porównaniu z innymi województwami (np. małopolskie – 7821 instalacji, lubelskie – 4475, łódzkie – 3811). </w:t>
      </w:r>
    </w:p>
    <w:p w:rsidR="00657899" w:rsidRPr="00657899" w:rsidRDefault="00702B11" w:rsidP="00D73B96">
      <w:pPr>
        <w:spacing w:after="120" w:line="276" w:lineRule="auto"/>
        <w:jc w:val="both"/>
        <w:rPr>
          <w:color w:val="000000" w:themeColor="text1"/>
          <w:sz w:val="20"/>
          <w:szCs w:val="20"/>
        </w:rPr>
      </w:pPr>
      <w:r w:rsidRPr="00657899">
        <w:rPr>
          <w:color w:val="000000" w:themeColor="text1"/>
          <w:sz w:val="20"/>
          <w:szCs w:val="20"/>
        </w:rPr>
        <w:t xml:space="preserve">W województwie kujawsko-pomorskim odnotowuje się wahania zużycia energii elektrycznej w ostatnich latach przez sektor przemysłowy (2010 r. – 3315 </w:t>
      </w:r>
      <w:proofErr w:type="spellStart"/>
      <w:r w:rsidRPr="00657899">
        <w:rPr>
          <w:color w:val="000000" w:themeColor="text1"/>
          <w:sz w:val="20"/>
          <w:szCs w:val="20"/>
        </w:rPr>
        <w:t>GWh</w:t>
      </w:r>
      <w:proofErr w:type="spellEnd"/>
      <w:r w:rsidRPr="00657899">
        <w:rPr>
          <w:color w:val="000000" w:themeColor="text1"/>
          <w:sz w:val="20"/>
          <w:szCs w:val="20"/>
        </w:rPr>
        <w:t xml:space="preserve">, 2011 r. – 3540 </w:t>
      </w:r>
      <w:proofErr w:type="spellStart"/>
      <w:r w:rsidRPr="00657899">
        <w:rPr>
          <w:color w:val="000000" w:themeColor="text1"/>
          <w:sz w:val="20"/>
          <w:szCs w:val="20"/>
        </w:rPr>
        <w:t>GWh</w:t>
      </w:r>
      <w:proofErr w:type="spellEnd"/>
      <w:r w:rsidRPr="00657899">
        <w:rPr>
          <w:color w:val="000000" w:themeColor="text1"/>
          <w:sz w:val="20"/>
          <w:szCs w:val="20"/>
        </w:rPr>
        <w:t xml:space="preserve">, 2012 r. – 3535 </w:t>
      </w:r>
      <w:proofErr w:type="spellStart"/>
      <w:r w:rsidRPr="00657899">
        <w:rPr>
          <w:color w:val="000000" w:themeColor="text1"/>
          <w:sz w:val="20"/>
          <w:szCs w:val="20"/>
        </w:rPr>
        <w:t>GWh</w:t>
      </w:r>
      <w:proofErr w:type="spellEnd"/>
      <w:r w:rsidRPr="00657899">
        <w:rPr>
          <w:color w:val="000000" w:themeColor="text1"/>
          <w:sz w:val="20"/>
          <w:szCs w:val="20"/>
        </w:rPr>
        <w:t xml:space="preserve">). </w:t>
      </w:r>
    </w:p>
    <w:p w:rsidR="00657899" w:rsidRPr="00657899" w:rsidRDefault="00702B11" w:rsidP="00D73B96">
      <w:pPr>
        <w:spacing w:after="120" w:line="276" w:lineRule="auto"/>
        <w:jc w:val="both"/>
        <w:rPr>
          <w:color w:val="000000" w:themeColor="text1"/>
          <w:sz w:val="20"/>
          <w:szCs w:val="20"/>
        </w:rPr>
      </w:pPr>
      <w:r w:rsidRPr="00657899">
        <w:rPr>
          <w:color w:val="000000" w:themeColor="text1"/>
          <w:sz w:val="20"/>
          <w:szCs w:val="20"/>
        </w:rPr>
        <w:t xml:space="preserve">W sektorze gospodarstw domowych zużycie energii wyglądało zaś następująco: 2010 r. – 1438 </w:t>
      </w:r>
      <w:proofErr w:type="spellStart"/>
      <w:r w:rsidRPr="00657899">
        <w:rPr>
          <w:color w:val="000000" w:themeColor="text1"/>
          <w:sz w:val="20"/>
          <w:szCs w:val="20"/>
        </w:rPr>
        <w:t>GWh</w:t>
      </w:r>
      <w:proofErr w:type="spellEnd"/>
      <w:r w:rsidRPr="00657899">
        <w:rPr>
          <w:color w:val="000000" w:themeColor="text1"/>
          <w:sz w:val="20"/>
          <w:szCs w:val="20"/>
        </w:rPr>
        <w:t xml:space="preserve">, 2011 r. – 1461 </w:t>
      </w:r>
      <w:proofErr w:type="spellStart"/>
      <w:r w:rsidRPr="00657899">
        <w:rPr>
          <w:color w:val="000000" w:themeColor="text1"/>
          <w:sz w:val="20"/>
          <w:szCs w:val="20"/>
        </w:rPr>
        <w:t>GWh</w:t>
      </w:r>
      <w:proofErr w:type="spellEnd"/>
      <w:r w:rsidRPr="00657899">
        <w:rPr>
          <w:color w:val="000000" w:themeColor="text1"/>
          <w:sz w:val="20"/>
          <w:szCs w:val="20"/>
        </w:rPr>
        <w:t xml:space="preserve">, 2012 r. – 1461 </w:t>
      </w:r>
      <w:proofErr w:type="spellStart"/>
      <w:r w:rsidRPr="00657899">
        <w:rPr>
          <w:color w:val="000000" w:themeColor="text1"/>
          <w:sz w:val="20"/>
          <w:szCs w:val="20"/>
        </w:rPr>
        <w:t>GWh</w:t>
      </w:r>
      <w:proofErr w:type="spellEnd"/>
      <w:r w:rsidRPr="00657899">
        <w:rPr>
          <w:color w:val="000000" w:themeColor="text1"/>
          <w:sz w:val="20"/>
          <w:szCs w:val="20"/>
        </w:rPr>
        <w:t xml:space="preserve">. Mimo coraz szerszego stosowania urządzeń i technologii energooszczędnych nie odnotowano jednak znaczących zmian, co wskazuje, że brak </w:t>
      </w:r>
      <w:r w:rsidRPr="00657899">
        <w:rPr>
          <w:color w:val="000000" w:themeColor="text1"/>
          <w:sz w:val="20"/>
          <w:szCs w:val="20"/>
        </w:rPr>
        <w:lastRenderedPageBreak/>
        <w:t xml:space="preserve">podejmowanych działań w tym obszarze mógłby przyczynić się do wzrostu zużycia energii elektrycznej. 13 Źródło Urząd Regulacji Energetyki, data aktualizacji danych: 31.12.2013 20 W przypadku zużycia energii cieplnej odnotowuje się w ciągu ostatnich lat widoczny spadek jej zużycia i to zarówno w odniesieniu do budynków użyteczności publicznej, jak i do budynków mieszkaniowych (2010 r. – 11 903 175,0 GJ, 2011 r. – 10 293 186,0 GJ, 2012 r. – 9 989 713,3 GJ). </w:t>
      </w:r>
    </w:p>
    <w:p w:rsidR="00657899" w:rsidRPr="00657899" w:rsidRDefault="00702B11" w:rsidP="00D73B96">
      <w:pPr>
        <w:spacing w:after="120" w:line="276" w:lineRule="auto"/>
        <w:jc w:val="both"/>
        <w:rPr>
          <w:color w:val="000000" w:themeColor="text1"/>
          <w:sz w:val="20"/>
          <w:szCs w:val="20"/>
        </w:rPr>
      </w:pPr>
      <w:r w:rsidRPr="00657899">
        <w:rPr>
          <w:color w:val="000000" w:themeColor="text1"/>
          <w:sz w:val="20"/>
          <w:szCs w:val="20"/>
        </w:rPr>
        <w:t xml:space="preserve">Biorąc pod uwagę zmienne warunki pogodowe w tych latach należy jednak zwrócić uwagę, że podejmowany wysiłek związany z efektywnością energetyczną w regionie jest w tym przypadku widoczny, a biorąc pod uwagę istniejące w dalszym ciągu potrzeby musi być kontynuowany. </w:t>
      </w:r>
    </w:p>
    <w:p w:rsidR="00657899" w:rsidRPr="00657899" w:rsidRDefault="00702B11" w:rsidP="00D73B96">
      <w:pPr>
        <w:spacing w:after="120" w:line="276" w:lineRule="auto"/>
        <w:jc w:val="both"/>
        <w:rPr>
          <w:color w:val="000000" w:themeColor="text1"/>
          <w:sz w:val="20"/>
          <w:szCs w:val="20"/>
        </w:rPr>
      </w:pPr>
      <w:r w:rsidRPr="00657899">
        <w:rPr>
          <w:color w:val="000000" w:themeColor="text1"/>
          <w:sz w:val="20"/>
          <w:szCs w:val="20"/>
        </w:rPr>
        <w:t xml:space="preserve">Od kilkunastu lat można zaobserwować tendencję spadkową emisji zanieczyszczeń do powietrza w województwie kujawsko-pomorskim. W latach 2007-2012 trend ten był kontynuowany w przypadku pyłów, natomiast uwalnianie gazów do atmosfery w 2011 i 2012 r. nieznacznie wzrosło. Należy stwierdzić, że w 2012 r. w regionie emisja gazów w przeliczeniu na powierzchnię znacznie niższa, niż średnia krajowa, natomiast w przypadku pyłów znajdowała się powyżej przeciętnej dla Polski. </w:t>
      </w:r>
    </w:p>
    <w:p w:rsidR="00702B11" w:rsidRPr="00657899" w:rsidRDefault="00702B11" w:rsidP="00D73B96">
      <w:pPr>
        <w:spacing w:after="120" w:line="276" w:lineRule="auto"/>
        <w:jc w:val="both"/>
        <w:rPr>
          <w:color w:val="000000" w:themeColor="text1"/>
          <w:sz w:val="20"/>
          <w:szCs w:val="20"/>
        </w:rPr>
      </w:pPr>
      <w:r w:rsidRPr="00657899">
        <w:rPr>
          <w:color w:val="000000" w:themeColor="text1"/>
          <w:sz w:val="20"/>
          <w:szCs w:val="20"/>
        </w:rPr>
        <w:t>Emisja zanieczyszczeń gazowych ukształtowała się na poziomie 8456,4 tys. Mg (w tym dwutlenek węgla 8398,8 tys. Mg), co stanowiło w skali krajowej 3,5%. W rankingu województw o największej emisji gazów i pyłów do powietrza w skali kraju województwo kujawsko-pomorskie w 2012 roku znalazło się na 7. Miejscu, jeśli mowa o gazach i 11., jeśli mowa o pyłach.</w:t>
      </w:r>
      <w:r w:rsidRPr="00657899">
        <w:rPr>
          <w:rStyle w:val="Odwoanieprzypisudolnego"/>
          <w:color w:val="000000" w:themeColor="text1"/>
          <w:sz w:val="20"/>
          <w:szCs w:val="20"/>
        </w:rPr>
        <w:footnoteReference w:id="2"/>
      </w:r>
    </w:p>
    <w:p w:rsidR="00702B11" w:rsidRDefault="00702B11" w:rsidP="00D73B96">
      <w:pPr>
        <w:spacing w:after="120" w:line="276" w:lineRule="auto"/>
        <w:jc w:val="both"/>
        <w:rPr>
          <w:sz w:val="20"/>
          <w:szCs w:val="20"/>
        </w:rPr>
      </w:pPr>
    </w:p>
    <w:p w:rsidR="00D73B96" w:rsidRPr="00D73B96" w:rsidRDefault="00D73B96" w:rsidP="00303BB2">
      <w:pPr>
        <w:pStyle w:val="Akapitzlist"/>
        <w:numPr>
          <w:ilvl w:val="0"/>
          <w:numId w:val="2"/>
        </w:numPr>
        <w:spacing w:after="120" w:line="276" w:lineRule="auto"/>
        <w:jc w:val="both"/>
        <w:rPr>
          <w:b/>
          <w:color w:val="000000" w:themeColor="text1"/>
          <w:sz w:val="20"/>
          <w:szCs w:val="20"/>
        </w:rPr>
      </w:pPr>
      <w:r w:rsidRPr="00D73B96">
        <w:rPr>
          <w:b/>
          <w:bCs/>
          <w:iCs/>
          <w:color w:val="000000" w:themeColor="text1"/>
          <w:sz w:val="20"/>
          <w:szCs w:val="20"/>
        </w:rPr>
        <w:t>Dopłaty do kredytów na budowę domów energooszczędnych</w:t>
      </w:r>
    </w:p>
    <w:p w:rsidR="00D73B96" w:rsidRPr="00D73B96" w:rsidRDefault="00D73B96" w:rsidP="00D73B96">
      <w:pPr>
        <w:autoSpaceDE w:val="0"/>
        <w:autoSpaceDN w:val="0"/>
        <w:adjustRightInd w:val="0"/>
        <w:spacing w:after="120" w:line="276" w:lineRule="auto"/>
        <w:ind w:left="708"/>
        <w:jc w:val="both"/>
        <w:rPr>
          <w:rFonts w:eastAsia="ArialMT"/>
          <w:sz w:val="20"/>
          <w:szCs w:val="20"/>
        </w:rPr>
      </w:pPr>
      <w:r w:rsidRPr="00D73B96">
        <w:rPr>
          <w:rFonts w:eastAsia="ArialMT"/>
          <w:sz w:val="20"/>
          <w:szCs w:val="20"/>
        </w:rPr>
        <w:t>Jednym z warunków uzyskania wsparcia jest osiągnięcie wymaganego zapotrzebowania na energię użytkową poprzez spełnienie warunków z wytycznych (zał. do Programu): minimalnych wymagań technicznych, wymagań dla projektu budowlanego, wymagań dla zrealizowanego przedsięwzięcia, zapewnienia jakości robót budowlanych. Standard NF40 i NF15 dla budynków mieszkalnych jest szeregiem wymogów opracowanych specjalnie na potrzeby omawianego programu finansowania, które w wielu aspektach przewyższają i poszerzają te wynikające</w:t>
      </w:r>
    </w:p>
    <w:p w:rsidR="00D73B96" w:rsidRPr="00D73B96" w:rsidRDefault="00D73B96" w:rsidP="00D73B96">
      <w:pPr>
        <w:autoSpaceDE w:val="0"/>
        <w:autoSpaceDN w:val="0"/>
        <w:adjustRightInd w:val="0"/>
        <w:spacing w:after="120" w:line="276" w:lineRule="auto"/>
        <w:ind w:left="708"/>
        <w:jc w:val="both"/>
        <w:rPr>
          <w:rFonts w:eastAsia="ArialMT"/>
          <w:sz w:val="20"/>
          <w:szCs w:val="20"/>
        </w:rPr>
      </w:pPr>
      <w:r w:rsidRPr="00D73B96">
        <w:rPr>
          <w:rFonts w:eastAsia="ArialMT"/>
          <w:sz w:val="20"/>
          <w:szCs w:val="20"/>
        </w:rPr>
        <w:t>z obowiązujących przepisów prawa oraz definicji budynku o niskim zużyciu energii.</w:t>
      </w:r>
    </w:p>
    <w:p w:rsidR="00D73B96" w:rsidRPr="00D73B96" w:rsidRDefault="00D73B96" w:rsidP="00A0632E">
      <w:pPr>
        <w:autoSpaceDE w:val="0"/>
        <w:autoSpaceDN w:val="0"/>
        <w:adjustRightInd w:val="0"/>
        <w:spacing w:after="120" w:line="276" w:lineRule="auto"/>
        <w:ind w:left="708"/>
        <w:jc w:val="both"/>
        <w:rPr>
          <w:rFonts w:eastAsia="ArialMT"/>
          <w:sz w:val="20"/>
          <w:szCs w:val="20"/>
        </w:rPr>
      </w:pPr>
      <w:r w:rsidRPr="00D73B96">
        <w:rPr>
          <w:rFonts w:eastAsia="ArialMT"/>
          <w:b/>
          <w:sz w:val="20"/>
          <w:szCs w:val="20"/>
        </w:rPr>
        <w:t>Cel:</w:t>
      </w:r>
      <w:r w:rsidRPr="00D73B96">
        <w:rPr>
          <w:rFonts w:eastAsia="ArialMT"/>
          <w:sz w:val="20"/>
          <w:szCs w:val="20"/>
        </w:rPr>
        <w:t xml:space="preserve"> Oszczędność energii i ograniczenie lub uniknięcie emisji CO2 przez dofinansowanie przedsięwzięć poprawiających efektywność wykorzystania energii w nowobudowanych budynkach mieszkalnych.</w:t>
      </w:r>
    </w:p>
    <w:p w:rsidR="00D73B96" w:rsidRPr="00D73B96" w:rsidRDefault="00D73B96" w:rsidP="00D73B96">
      <w:pPr>
        <w:autoSpaceDE w:val="0"/>
        <w:autoSpaceDN w:val="0"/>
        <w:adjustRightInd w:val="0"/>
        <w:spacing w:after="120" w:line="276" w:lineRule="auto"/>
        <w:ind w:left="708"/>
        <w:jc w:val="both"/>
        <w:rPr>
          <w:rFonts w:eastAsia="ArialMT"/>
          <w:sz w:val="20"/>
          <w:szCs w:val="20"/>
        </w:rPr>
      </w:pPr>
      <w:r w:rsidRPr="00D73B96">
        <w:rPr>
          <w:rFonts w:eastAsia="ArialMT"/>
          <w:b/>
          <w:sz w:val="20"/>
          <w:szCs w:val="20"/>
        </w:rPr>
        <w:t xml:space="preserve">Budżet </w:t>
      </w:r>
      <w:r w:rsidRPr="00D73B96">
        <w:rPr>
          <w:rFonts w:eastAsia="ArialMT"/>
          <w:sz w:val="20"/>
          <w:szCs w:val="20"/>
        </w:rPr>
        <w:t xml:space="preserve">: Wypłaty środków z podjętych i planowanych zobowiązań dla bezzwrotnych form dofinansowania programu wynoszą 300 000 tys. zł. Środki pozwolą na realizację </w:t>
      </w:r>
      <w:r w:rsidRPr="00D73B96">
        <w:rPr>
          <w:rFonts w:eastAsia="ArialMT"/>
          <w:sz w:val="20"/>
          <w:szCs w:val="20"/>
        </w:rPr>
        <w:lastRenderedPageBreak/>
        <w:t>ok. 12 tys. budynków mieszkalnych jednorodzinnych i mieszkań w budynkach mieszkalnych wielorodzinnych</w:t>
      </w:r>
    </w:p>
    <w:p w:rsidR="00D73B96" w:rsidRPr="00D73B96" w:rsidRDefault="00D73B96" w:rsidP="00D73B96">
      <w:pPr>
        <w:autoSpaceDE w:val="0"/>
        <w:autoSpaceDN w:val="0"/>
        <w:adjustRightInd w:val="0"/>
        <w:spacing w:after="120" w:line="276" w:lineRule="auto"/>
        <w:ind w:left="708"/>
        <w:jc w:val="both"/>
        <w:rPr>
          <w:rFonts w:eastAsia="ArialMT"/>
          <w:sz w:val="20"/>
          <w:szCs w:val="20"/>
        </w:rPr>
      </w:pPr>
      <w:r w:rsidRPr="00D73B96">
        <w:rPr>
          <w:rFonts w:eastAsia="ArialMT"/>
          <w:b/>
          <w:sz w:val="20"/>
          <w:szCs w:val="20"/>
        </w:rPr>
        <w:t>Czas:</w:t>
      </w:r>
      <w:r w:rsidRPr="00D73B96">
        <w:rPr>
          <w:rFonts w:eastAsia="ArialMT"/>
          <w:sz w:val="20"/>
          <w:szCs w:val="20"/>
        </w:rPr>
        <w:t xml:space="preserve"> Program jest wdrażany w latach 2013 – 2022. Wydatkowanie środków w terminie do 31.12.2022 </w:t>
      </w:r>
    </w:p>
    <w:p w:rsidR="00D73B96" w:rsidRPr="00D73B96" w:rsidRDefault="00D73B96" w:rsidP="00D73B96">
      <w:pPr>
        <w:autoSpaceDE w:val="0"/>
        <w:autoSpaceDN w:val="0"/>
        <w:adjustRightInd w:val="0"/>
        <w:spacing w:after="120" w:line="276" w:lineRule="auto"/>
        <w:ind w:left="708"/>
        <w:jc w:val="both"/>
        <w:rPr>
          <w:rFonts w:eastAsia="ArialMT"/>
          <w:sz w:val="20"/>
          <w:szCs w:val="20"/>
        </w:rPr>
      </w:pPr>
      <w:r w:rsidRPr="00D73B96">
        <w:rPr>
          <w:rFonts w:eastAsia="ArialMT"/>
          <w:b/>
          <w:sz w:val="20"/>
          <w:szCs w:val="20"/>
        </w:rPr>
        <w:t>Instrumenty:</w:t>
      </w:r>
      <w:r w:rsidRPr="00D73B96">
        <w:rPr>
          <w:rFonts w:eastAsia="ArialMT"/>
          <w:sz w:val="20"/>
          <w:szCs w:val="20"/>
        </w:rPr>
        <w:t xml:space="preserve"> Dotacja na częściową spłatę kapitału kredytu bankowego realizowana za pośrednictwem banku na podstawie umowy o współpracy zawartej z NFOŚiGW.</w:t>
      </w:r>
    </w:p>
    <w:p w:rsidR="00D73B96" w:rsidRPr="00D73B96" w:rsidRDefault="00D73B96" w:rsidP="00D73B96">
      <w:pPr>
        <w:autoSpaceDE w:val="0"/>
        <w:autoSpaceDN w:val="0"/>
        <w:adjustRightInd w:val="0"/>
        <w:spacing w:after="120" w:line="276" w:lineRule="auto"/>
        <w:ind w:left="708"/>
        <w:jc w:val="both"/>
        <w:rPr>
          <w:rFonts w:eastAsia="ArialMT"/>
          <w:sz w:val="20"/>
          <w:szCs w:val="20"/>
        </w:rPr>
      </w:pPr>
      <w:r w:rsidRPr="00D73B96">
        <w:rPr>
          <w:rFonts w:eastAsia="Arial-BoldMT"/>
          <w:b/>
          <w:bCs/>
          <w:sz w:val="20"/>
          <w:szCs w:val="20"/>
        </w:rPr>
        <w:t>Beneficjenci :</w:t>
      </w:r>
      <w:r w:rsidRPr="00D73B96">
        <w:rPr>
          <w:rFonts w:eastAsia="ArialMT"/>
          <w:sz w:val="20"/>
          <w:szCs w:val="20"/>
        </w:rPr>
        <w:t xml:space="preserve"> osoby fizyczne budujące nowe budynki mieszkalne jednorodzinne osoby fizyczne kupujące nowo budowane budynki mieszkalne jednorodzinne i mieszkania w budynkach mieszkalnych wielorodzinnych od deweloperów (spółdzielni mieszkaniowych)</w:t>
      </w:r>
    </w:p>
    <w:p w:rsidR="008F2445" w:rsidRPr="00D73B96" w:rsidRDefault="008F2445" w:rsidP="00D73B96">
      <w:pPr>
        <w:pStyle w:val="Akapitzlist"/>
        <w:autoSpaceDE w:val="0"/>
        <w:autoSpaceDN w:val="0"/>
        <w:adjustRightInd w:val="0"/>
        <w:spacing w:after="120" w:line="276" w:lineRule="auto"/>
        <w:jc w:val="both"/>
        <w:rPr>
          <w:rFonts w:eastAsia="Arial-BoldMT"/>
          <w:b/>
          <w:bCs/>
          <w:color w:val="000000" w:themeColor="text1"/>
          <w:sz w:val="20"/>
          <w:szCs w:val="20"/>
        </w:rPr>
      </w:pPr>
    </w:p>
    <w:p w:rsidR="00D73B96" w:rsidRPr="00D73B96" w:rsidRDefault="00D73B96" w:rsidP="00303BB2">
      <w:pPr>
        <w:pStyle w:val="Akapitzlist"/>
        <w:numPr>
          <w:ilvl w:val="0"/>
          <w:numId w:val="2"/>
        </w:numPr>
        <w:autoSpaceDE w:val="0"/>
        <w:autoSpaceDN w:val="0"/>
        <w:adjustRightInd w:val="0"/>
        <w:spacing w:after="120" w:line="276" w:lineRule="auto"/>
        <w:jc w:val="both"/>
        <w:rPr>
          <w:rFonts w:eastAsia="Arial-BoldMT"/>
          <w:b/>
          <w:bCs/>
          <w:color w:val="000000" w:themeColor="text1"/>
          <w:sz w:val="20"/>
          <w:szCs w:val="20"/>
        </w:rPr>
      </w:pPr>
      <w:r w:rsidRPr="00D73B96">
        <w:rPr>
          <w:rFonts w:eastAsia="Arial-BoldMT"/>
          <w:b/>
          <w:bCs/>
          <w:color w:val="000000" w:themeColor="text1"/>
          <w:sz w:val="20"/>
          <w:szCs w:val="20"/>
        </w:rPr>
        <w:t xml:space="preserve">LEMUR </w:t>
      </w:r>
      <w:r w:rsidRPr="00D73B96">
        <w:rPr>
          <w:rFonts w:eastAsia="SymbolMT,Bold"/>
          <w:b/>
          <w:bCs/>
          <w:color w:val="000000" w:themeColor="text1"/>
          <w:sz w:val="20"/>
          <w:szCs w:val="20"/>
        </w:rPr>
        <w:t xml:space="preserve">- </w:t>
      </w:r>
      <w:r w:rsidRPr="00D73B96">
        <w:rPr>
          <w:rFonts w:eastAsia="Arial-BoldMT"/>
          <w:b/>
          <w:bCs/>
          <w:color w:val="000000" w:themeColor="text1"/>
          <w:sz w:val="20"/>
          <w:szCs w:val="20"/>
        </w:rPr>
        <w:t>Energooszczędne budynki użyteczności publicznej</w:t>
      </w:r>
    </w:p>
    <w:p w:rsidR="00D73B96" w:rsidRPr="00D73B96" w:rsidRDefault="00D73B96" w:rsidP="00D73B96">
      <w:pPr>
        <w:pStyle w:val="Akapitzlist"/>
        <w:autoSpaceDE w:val="0"/>
        <w:autoSpaceDN w:val="0"/>
        <w:adjustRightInd w:val="0"/>
        <w:spacing w:after="120" w:line="276" w:lineRule="auto"/>
        <w:jc w:val="both"/>
        <w:rPr>
          <w:rFonts w:eastAsia="ArialMT"/>
          <w:sz w:val="20"/>
          <w:szCs w:val="20"/>
        </w:rPr>
      </w:pPr>
      <w:r w:rsidRPr="00D73B96">
        <w:rPr>
          <w:rFonts w:eastAsia="ArialMT"/>
          <w:sz w:val="20"/>
          <w:szCs w:val="20"/>
        </w:rPr>
        <w:t>Finansowane będą instalacje do produkcji energii elektrycznej lub ciepła i energii elektrycznej wykorzystujące:</w:t>
      </w:r>
    </w:p>
    <w:p w:rsidR="00D73B96" w:rsidRPr="00D73B96" w:rsidRDefault="00D73B96" w:rsidP="00303BB2">
      <w:pPr>
        <w:pStyle w:val="Akapitzlist"/>
        <w:numPr>
          <w:ilvl w:val="0"/>
          <w:numId w:val="16"/>
        </w:numPr>
        <w:autoSpaceDE w:val="0"/>
        <w:autoSpaceDN w:val="0"/>
        <w:adjustRightInd w:val="0"/>
        <w:spacing w:after="120" w:line="276" w:lineRule="auto"/>
        <w:jc w:val="both"/>
        <w:rPr>
          <w:rFonts w:eastAsia="ArialMT"/>
          <w:sz w:val="20"/>
          <w:szCs w:val="20"/>
        </w:rPr>
      </w:pPr>
      <w:r w:rsidRPr="00D73B96">
        <w:rPr>
          <w:rFonts w:eastAsia="ArialMT"/>
          <w:sz w:val="20"/>
          <w:szCs w:val="20"/>
        </w:rPr>
        <w:t>źródła ciepła opalane biomasą, pompy ciepła oraz kolektory słoneczne o zainstalowanej mocy cieplnej do 300 kWt;</w:t>
      </w:r>
    </w:p>
    <w:p w:rsidR="00D73B96" w:rsidRPr="00D73B96" w:rsidRDefault="00D73B96" w:rsidP="00303BB2">
      <w:pPr>
        <w:pStyle w:val="Akapitzlist"/>
        <w:numPr>
          <w:ilvl w:val="0"/>
          <w:numId w:val="16"/>
        </w:numPr>
        <w:autoSpaceDE w:val="0"/>
        <w:autoSpaceDN w:val="0"/>
        <w:adjustRightInd w:val="0"/>
        <w:spacing w:after="120" w:line="276" w:lineRule="auto"/>
        <w:jc w:val="both"/>
        <w:rPr>
          <w:rFonts w:eastAsia="ArialMT"/>
          <w:sz w:val="20"/>
          <w:szCs w:val="20"/>
        </w:rPr>
      </w:pPr>
      <w:r w:rsidRPr="00D73B96">
        <w:rPr>
          <w:rFonts w:eastAsia="ArialMT"/>
          <w:sz w:val="20"/>
          <w:szCs w:val="20"/>
        </w:rPr>
        <w:t xml:space="preserve">systemy fotowoltaiczne, małe elektrownie wiatrowe, oraz układy mikrokogeneracyjne (w tym mikrobiogazownie) o zainstalowanej mocy elektrycznej do 40 </w:t>
      </w:r>
      <w:proofErr w:type="spellStart"/>
      <w:r w:rsidRPr="00D73B96">
        <w:rPr>
          <w:rFonts w:eastAsia="ArialMT"/>
          <w:sz w:val="20"/>
          <w:szCs w:val="20"/>
        </w:rPr>
        <w:t>kWe</w:t>
      </w:r>
      <w:proofErr w:type="spellEnd"/>
      <w:r w:rsidRPr="00D73B96">
        <w:rPr>
          <w:rFonts w:eastAsia="ArialMT"/>
          <w:sz w:val="20"/>
          <w:szCs w:val="20"/>
        </w:rPr>
        <w:t xml:space="preserve">, dla potrzeb budynków mieszkalnych jednorodzinnych lub wielorodzinnych, w tym również będących w budowie. </w:t>
      </w:r>
    </w:p>
    <w:p w:rsidR="00D73B96" w:rsidRPr="00D73B96" w:rsidRDefault="00D73B96" w:rsidP="00A0632E">
      <w:pPr>
        <w:autoSpaceDE w:val="0"/>
        <w:autoSpaceDN w:val="0"/>
        <w:adjustRightInd w:val="0"/>
        <w:spacing w:after="120" w:line="276" w:lineRule="auto"/>
        <w:ind w:left="708"/>
        <w:jc w:val="both"/>
        <w:rPr>
          <w:rFonts w:eastAsia="ArialMT"/>
          <w:sz w:val="20"/>
          <w:szCs w:val="20"/>
        </w:rPr>
      </w:pPr>
      <w:r w:rsidRPr="00D73B96">
        <w:rPr>
          <w:rFonts w:eastAsia="ArialMT"/>
          <w:sz w:val="20"/>
          <w:szCs w:val="20"/>
        </w:rPr>
        <w:t>Wymagana jest wysoka jakość instalowanych urządzeń, gwarancja producenta głównych urządzeń na co najmniej 5 lat, rękojmia wykonawcy na co najmniej 3 lata, projektowanie i montaż przez osoby posiadające uprawnienia.</w:t>
      </w:r>
    </w:p>
    <w:p w:rsidR="00D73B96" w:rsidRPr="00D73B96" w:rsidRDefault="00D73B96" w:rsidP="00A0632E">
      <w:pPr>
        <w:autoSpaceDE w:val="0"/>
        <w:autoSpaceDN w:val="0"/>
        <w:adjustRightInd w:val="0"/>
        <w:spacing w:after="120" w:line="276" w:lineRule="auto"/>
        <w:ind w:left="708"/>
        <w:jc w:val="both"/>
        <w:rPr>
          <w:rFonts w:eastAsia="ArialMT"/>
          <w:sz w:val="20"/>
          <w:szCs w:val="20"/>
        </w:rPr>
      </w:pPr>
      <w:r w:rsidRPr="00D73B96">
        <w:rPr>
          <w:rFonts w:eastAsia="ArialMT"/>
          <w:b/>
          <w:sz w:val="20"/>
          <w:szCs w:val="20"/>
        </w:rPr>
        <w:t>Cel:</w:t>
      </w:r>
      <w:r w:rsidRPr="00D73B96">
        <w:rPr>
          <w:rFonts w:eastAsia="ArialMT"/>
          <w:sz w:val="20"/>
          <w:szCs w:val="20"/>
        </w:rPr>
        <w:t xml:space="preserve"> . Celem programu jest osiągnięcie efektu ekologicznego polegającego na ograniczeniu lub uniknięciu emisji CO2 w wyniku zwiększenia produkcji energii ze źródeł odnawialnych przez zakup i montaż małych lub mikroinstalacji odnawialnych źródeł energii.</w:t>
      </w:r>
    </w:p>
    <w:p w:rsidR="00D73B96" w:rsidRPr="00D73B96" w:rsidRDefault="00D73B96" w:rsidP="00D73B96">
      <w:pPr>
        <w:autoSpaceDE w:val="0"/>
        <w:autoSpaceDN w:val="0"/>
        <w:adjustRightInd w:val="0"/>
        <w:spacing w:after="120" w:line="276" w:lineRule="auto"/>
        <w:ind w:left="708"/>
        <w:jc w:val="both"/>
        <w:rPr>
          <w:rFonts w:eastAsia="ArialMT"/>
          <w:sz w:val="20"/>
          <w:szCs w:val="20"/>
        </w:rPr>
      </w:pPr>
      <w:r w:rsidRPr="00D73B96">
        <w:rPr>
          <w:rFonts w:eastAsia="ArialMT"/>
          <w:b/>
          <w:sz w:val="20"/>
          <w:szCs w:val="20"/>
        </w:rPr>
        <w:t xml:space="preserve">Budżet </w:t>
      </w:r>
      <w:r w:rsidRPr="00D73B96">
        <w:rPr>
          <w:rFonts w:eastAsia="ArialMT"/>
          <w:sz w:val="20"/>
          <w:szCs w:val="20"/>
        </w:rPr>
        <w:t>: Budżet programu wynosi 800 000 tys. zł.</w:t>
      </w:r>
    </w:p>
    <w:p w:rsidR="00D73B96" w:rsidRPr="00D73B96" w:rsidRDefault="00D73B96" w:rsidP="00D73B96">
      <w:pPr>
        <w:autoSpaceDE w:val="0"/>
        <w:autoSpaceDN w:val="0"/>
        <w:adjustRightInd w:val="0"/>
        <w:spacing w:after="120" w:line="276" w:lineRule="auto"/>
        <w:ind w:left="708"/>
        <w:jc w:val="both"/>
        <w:rPr>
          <w:rFonts w:eastAsia="ArialMT"/>
          <w:sz w:val="20"/>
          <w:szCs w:val="20"/>
        </w:rPr>
      </w:pPr>
      <w:r w:rsidRPr="00D73B96">
        <w:rPr>
          <w:rFonts w:eastAsia="ArialMT"/>
          <w:b/>
          <w:sz w:val="20"/>
          <w:szCs w:val="20"/>
        </w:rPr>
        <w:t>Czas:</w:t>
      </w:r>
      <w:r w:rsidRPr="00D73B96">
        <w:rPr>
          <w:rFonts w:eastAsia="ArialMT"/>
          <w:sz w:val="20"/>
          <w:szCs w:val="20"/>
        </w:rPr>
        <w:t xml:space="preserve"> Lata 2014-2022 z możliwością zawierania umów kredytu do 2020 r.</w:t>
      </w:r>
    </w:p>
    <w:p w:rsidR="00D73B96" w:rsidRPr="00D73B96" w:rsidRDefault="00D73B96" w:rsidP="00D73B96">
      <w:pPr>
        <w:autoSpaceDE w:val="0"/>
        <w:autoSpaceDN w:val="0"/>
        <w:adjustRightInd w:val="0"/>
        <w:spacing w:after="120" w:line="276" w:lineRule="auto"/>
        <w:ind w:left="708"/>
        <w:jc w:val="both"/>
        <w:rPr>
          <w:rFonts w:eastAsia="ArialMT"/>
          <w:sz w:val="20"/>
          <w:szCs w:val="20"/>
        </w:rPr>
      </w:pPr>
      <w:r w:rsidRPr="00D73B96">
        <w:rPr>
          <w:rFonts w:eastAsia="ArialMT"/>
          <w:b/>
          <w:sz w:val="20"/>
          <w:szCs w:val="20"/>
        </w:rPr>
        <w:t>Instrumenty:</w:t>
      </w:r>
      <w:r w:rsidRPr="00D73B96">
        <w:rPr>
          <w:rFonts w:eastAsia="ArialMT"/>
          <w:sz w:val="20"/>
          <w:szCs w:val="20"/>
        </w:rPr>
        <w:t xml:space="preserve"> Kredyt z dotacją łącznie do 100% kosztów kwalifikowanych, w tym:</w:t>
      </w:r>
    </w:p>
    <w:p w:rsidR="00D73B96" w:rsidRPr="00D73B96" w:rsidRDefault="00D73B96" w:rsidP="00303BB2">
      <w:pPr>
        <w:pStyle w:val="Akapitzlist"/>
        <w:numPr>
          <w:ilvl w:val="0"/>
          <w:numId w:val="14"/>
        </w:numPr>
        <w:autoSpaceDE w:val="0"/>
        <w:autoSpaceDN w:val="0"/>
        <w:adjustRightInd w:val="0"/>
        <w:spacing w:after="120" w:line="276" w:lineRule="auto"/>
        <w:jc w:val="both"/>
        <w:rPr>
          <w:rFonts w:eastAsia="ArialMT"/>
          <w:sz w:val="20"/>
          <w:szCs w:val="20"/>
        </w:rPr>
      </w:pPr>
      <w:r w:rsidRPr="00D73B96">
        <w:rPr>
          <w:rFonts w:eastAsia="ArialMT"/>
          <w:sz w:val="20"/>
          <w:szCs w:val="20"/>
        </w:rPr>
        <w:t>dotacja 20-40% kwoty dofinansowania (15 lub 30% po 2015 r.);</w:t>
      </w:r>
    </w:p>
    <w:p w:rsidR="00D73B96" w:rsidRPr="00D73B96" w:rsidRDefault="00D73B96" w:rsidP="00303BB2">
      <w:pPr>
        <w:pStyle w:val="Akapitzlist"/>
        <w:numPr>
          <w:ilvl w:val="0"/>
          <w:numId w:val="14"/>
        </w:numPr>
        <w:autoSpaceDE w:val="0"/>
        <w:autoSpaceDN w:val="0"/>
        <w:adjustRightInd w:val="0"/>
        <w:spacing w:after="120" w:line="276" w:lineRule="auto"/>
        <w:jc w:val="both"/>
        <w:rPr>
          <w:rFonts w:eastAsia="ArialMT"/>
          <w:sz w:val="20"/>
          <w:szCs w:val="20"/>
        </w:rPr>
      </w:pPr>
      <w:r w:rsidRPr="00D73B96">
        <w:rPr>
          <w:rFonts w:eastAsia="ArialMT"/>
          <w:sz w:val="20"/>
          <w:szCs w:val="20"/>
        </w:rPr>
        <w:t>pożyczka o oprocentowaniu w skali roku – 1% (okres finansowania pożyczką/kredytem do 15 lat).</w:t>
      </w:r>
    </w:p>
    <w:p w:rsidR="00D73B96" w:rsidRPr="00D73B96" w:rsidRDefault="00D73B96" w:rsidP="00A0632E">
      <w:pPr>
        <w:autoSpaceDE w:val="0"/>
        <w:autoSpaceDN w:val="0"/>
        <w:adjustRightInd w:val="0"/>
        <w:spacing w:after="120" w:line="276" w:lineRule="auto"/>
        <w:ind w:left="708"/>
        <w:jc w:val="both"/>
        <w:rPr>
          <w:rFonts w:eastAsia="ArialMT"/>
          <w:sz w:val="20"/>
          <w:szCs w:val="20"/>
        </w:rPr>
      </w:pPr>
      <w:r w:rsidRPr="00D73B96">
        <w:rPr>
          <w:rFonts w:eastAsia="Arial-BoldMT"/>
          <w:b/>
          <w:bCs/>
          <w:sz w:val="20"/>
          <w:szCs w:val="20"/>
        </w:rPr>
        <w:t>Beneficjenci :</w:t>
      </w:r>
      <w:r w:rsidRPr="00D73B96">
        <w:rPr>
          <w:rFonts w:eastAsia="ArialMT"/>
          <w:sz w:val="20"/>
          <w:szCs w:val="20"/>
        </w:rPr>
        <w:t xml:space="preserve"> osoby fizyczne posiadające prawo do dysponowania budynkiem mieszkalnym;</w:t>
      </w:r>
    </w:p>
    <w:p w:rsidR="00297E90" w:rsidRDefault="00D73B96" w:rsidP="00303BB2">
      <w:pPr>
        <w:pStyle w:val="Akapitzlist"/>
        <w:numPr>
          <w:ilvl w:val="0"/>
          <w:numId w:val="15"/>
        </w:numPr>
        <w:autoSpaceDE w:val="0"/>
        <w:autoSpaceDN w:val="0"/>
        <w:adjustRightInd w:val="0"/>
        <w:spacing w:after="120" w:line="276" w:lineRule="auto"/>
        <w:jc w:val="both"/>
        <w:rPr>
          <w:rFonts w:eastAsia="ArialMT"/>
          <w:sz w:val="20"/>
          <w:szCs w:val="20"/>
        </w:rPr>
      </w:pPr>
      <w:r w:rsidRPr="00D73B96">
        <w:rPr>
          <w:rFonts w:eastAsia="ArialMT"/>
          <w:sz w:val="20"/>
          <w:szCs w:val="20"/>
        </w:rPr>
        <w:t>wspólnoty i spółdzielnie mieszkaniowe;</w:t>
      </w:r>
    </w:p>
    <w:p w:rsidR="00D73B96" w:rsidRPr="00297E90" w:rsidRDefault="00D73B96" w:rsidP="00303BB2">
      <w:pPr>
        <w:pStyle w:val="Akapitzlist"/>
        <w:numPr>
          <w:ilvl w:val="0"/>
          <w:numId w:val="15"/>
        </w:numPr>
        <w:autoSpaceDE w:val="0"/>
        <w:autoSpaceDN w:val="0"/>
        <w:adjustRightInd w:val="0"/>
        <w:spacing w:after="120" w:line="276" w:lineRule="auto"/>
        <w:jc w:val="both"/>
        <w:rPr>
          <w:rFonts w:eastAsia="ArialMT"/>
          <w:sz w:val="20"/>
          <w:szCs w:val="20"/>
        </w:rPr>
      </w:pPr>
      <w:r w:rsidRPr="00297E90">
        <w:rPr>
          <w:rFonts w:eastAsia="ArialMT"/>
          <w:sz w:val="20"/>
          <w:szCs w:val="20"/>
        </w:rPr>
        <w:t>jednostki samorządu terytorialnego i ich związki</w:t>
      </w:r>
    </w:p>
    <w:p w:rsidR="00657899" w:rsidRDefault="00657899" w:rsidP="00657899">
      <w:pPr>
        <w:pStyle w:val="Akapitzlist"/>
        <w:autoSpaceDE w:val="0"/>
        <w:autoSpaceDN w:val="0"/>
        <w:adjustRightInd w:val="0"/>
        <w:spacing w:after="120" w:line="276" w:lineRule="auto"/>
        <w:jc w:val="both"/>
        <w:rPr>
          <w:rFonts w:eastAsia="Arial-BoldMT"/>
          <w:b/>
          <w:bCs/>
          <w:color w:val="000000" w:themeColor="text1"/>
          <w:sz w:val="20"/>
          <w:szCs w:val="20"/>
        </w:rPr>
      </w:pPr>
    </w:p>
    <w:p w:rsidR="00D73B96" w:rsidRPr="00D73B96" w:rsidRDefault="00D73B96" w:rsidP="00303BB2">
      <w:pPr>
        <w:pStyle w:val="Akapitzlist"/>
        <w:numPr>
          <w:ilvl w:val="0"/>
          <w:numId w:val="2"/>
        </w:numPr>
        <w:autoSpaceDE w:val="0"/>
        <w:autoSpaceDN w:val="0"/>
        <w:adjustRightInd w:val="0"/>
        <w:spacing w:after="120" w:line="276" w:lineRule="auto"/>
        <w:jc w:val="both"/>
        <w:rPr>
          <w:rFonts w:eastAsia="Arial-BoldMT"/>
          <w:b/>
          <w:bCs/>
          <w:color w:val="000000" w:themeColor="text1"/>
          <w:sz w:val="20"/>
          <w:szCs w:val="20"/>
        </w:rPr>
      </w:pPr>
      <w:r w:rsidRPr="00D73B96">
        <w:rPr>
          <w:rFonts w:eastAsia="Arial-BoldMT"/>
          <w:b/>
          <w:bCs/>
          <w:color w:val="000000" w:themeColor="text1"/>
          <w:sz w:val="20"/>
          <w:szCs w:val="20"/>
        </w:rPr>
        <w:lastRenderedPageBreak/>
        <w:t xml:space="preserve">BOCIAN </w:t>
      </w:r>
      <w:r w:rsidRPr="00D73B96">
        <w:rPr>
          <w:rFonts w:eastAsia="Arial-BoldMT"/>
          <w:i/>
          <w:iCs/>
          <w:color w:val="000000" w:themeColor="text1"/>
          <w:sz w:val="20"/>
          <w:szCs w:val="20"/>
        </w:rPr>
        <w:t xml:space="preserve">– </w:t>
      </w:r>
      <w:r w:rsidRPr="00D73B96">
        <w:rPr>
          <w:rFonts w:eastAsia="Arial-BoldMT"/>
          <w:b/>
          <w:bCs/>
          <w:color w:val="000000" w:themeColor="text1"/>
          <w:sz w:val="20"/>
          <w:szCs w:val="20"/>
        </w:rPr>
        <w:t>rozproszone, odnawialne źródła energii</w:t>
      </w:r>
    </w:p>
    <w:p w:rsidR="00D73B96" w:rsidRPr="00D73B96" w:rsidRDefault="00D73B96" w:rsidP="00D73B96">
      <w:pPr>
        <w:pStyle w:val="Akapitzlist"/>
        <w:autoSpaceDE w:val="0"/>
        <w:autoSpaceDN w:val="0"/>
        <w:adjustRightInd w:val="0"/>
        <w:spacing w:after="120" w:line="276" w:lineRule="auto"/>
        <w:jc w:val="both"/>
        <w:rPr>
          <w:rFonts w:eastAsia="Arial-BoldMT"/>
          <w:b/>
          <w:bCs/>
          <w:color w:val="000000" w:themeColor="text1"/>
          <w:sz w:val="20"/>
          <w:szCs w:val="20"/>
        </w:rPr>
      </w:pPr>
      <w:r w:rsidRPr="00D73B96">
        <w:rPr>
          <w:rFonts w:eastAsia="ArialMT"/>
          <w:sz w:val="20"/>
          <w:szCs w:val="20"/>
        </w:rPr>
        <w:t xml:space="preserve">Program obejmuje budowę, rozbudowę lub przebudowę instalacji odnawialnych źródeł energii o mocach mieszczących się w określonych przedziałach np. elektrownie wiatrowe do 3 </w:t>
      </w:r>
      <w:proofErr w:type="spellStart"/>
      <w:r w:rsidRPr="00D73B96">
        <w:rPr>
          <w:rFonts w:eastAsia="ArialMT"/>
          <w:sz w:val="20"/>
          <w:szCs w:val="20"/>
        </w:rPr>
        <w:t>MWe</w:t>
      </w:r>
      <w:proofErr w:type="spellEnd"/>
      <w:r w:rsidRPr="00D73B96">
        <w:rPr>
          <w:rFonts w:eastAsia="ArialMT"/>
          <w:sz w:val="20"/>
          <w:szCs w:val="20"/>
        </w:rPr>
        <w:t xml:space="preserve">, systemy fotowoltaiczne od 200 </w:t>
      </w:r>
      <w:proofErr w:type="spellStart"/>
      <w:r w:rsidRPr="00D73B96">
        <w:rPr>
          <w:rFonts w:eastAsia="ArialMT"/>
          <w:sz w:val="20"/>
          <w:szCs w:val="20"/>
        </w:rPr>
        <w:t>kWp</w:t>
      </w:r>
      <w:proofErr w:type="spellEnd"/>
      <w:r w:rsidRPr="00D73B96">
        <w:rPr>
          <w:rFonts w:eastAsia="ArialMT"/>
          <w:sz w:val="20"/>
          <w:szCs w:val="20"/>
        </w:rPr>
        <w:t xml:space="preserve"> do 1MWp, energia z wód geotermalnych od 5MWt do 20 </w:t>
      </w:r>
      <w:proofErr w:type="spellStart"/>
      <w:r w:rsidRPr="00D73B96">
        <w:rPr>
          <w:rFonts w:eastAsia="ArialMT"/>
          <w:sz w:val="20"/>
          <w:szCs w:val="20"/>
        </w:rPr>
        <w:t>MWt</w:t>
      </w:r>
      <w:proofErr w:type="spellEnd"/>
      <w:r w:rsidRPr="00D73B96">
        <w:rPr>
          <w:rFonts w:eastAsia="ArialMT"/>
          <w:sz w:val="20"/>
          <w:szCs w:val="20"/>
        </w:rPr>
        <w:t>, małe elektrownie wodne 5 MW.</w:t>
      </w:r>
    </w:p>
    <w:p w:rsidR="00D73B96" w:rsidRPr="00D73B96" w:rsidRDefault="00D73B96" w:rsidP="00A0632E">
      <w:pPr>
        <w:autoSpaceDE w:val="0"/>
        <w:autoSpaceDN w:val="0"/>
        <w:adjustRightInd w:val="0"/>
        <w:spacing w:after="120" w:line="276" w:lineRule="auto"/>
        <w:ind w:left="708"/>
        <w:jc w:val="both"/>
        <w:rPr>
          <w:rFonts w:eastAsia="ArialMT"/>
          <w:sz w:val="20"/>
          <w:szCs w:val="20"/>
        </w:rPr>
      </w:pPr>
      <w:r w:rsidRPr="00D73B96">
        <w:rPr>
          <w:rFonts w:eastAsia="ArialMT"/>
          <w:b/>
          <w:sz w:val="20"/>
          <w:szCs w:val="20"/>
        </w:rPr>
        <w:t>Cel:</w:t>
      </w:r>
      <w:r w:rsidRPr="00D73B96">
        <w:rPr>
          <w:rFonts w:eastAsia="ArialMT"/>
          <w:sz w:val="20"/>
          <w:szCs w:val="20"/>
        </w:rPr>
        <w:t xml:space="preserve"> Ograniczenie lub uniknięcie emisji CO2 przez zwiększenie produkcji energii z instalacji wykorzystujących odnawialne źródła energii.</w:t>
      </w:r>
    </w:p>
    <w:p w:rsidR="00D73B96" w:rsidRPr="00D73B96" w:rsidRDefault="00D73B96" w:rsidP="00A0632E">
      <w:pPr>
        <w:autoSpaceDE w:val="0"/>
        <w:autoSpaceDN w:val="0"/>
        <w:adjustRightInd w:val="0"/>
        <w:spacing w:after="120" w:line="276" w:lineRule="auto"/>
        <w:ind w:left="708"/>
        <w:jc w:val="both"/>
        <w:rPr>
          <w:rFonts w:eastAsia="ArialMT"/>
          <w:sz w:val="20"/>
          <w:szCs w:val="20"/>
        </w:rPr>
      </w:pPr>
      <w:r w:rsidRPr="00D73B96">
        <w:rPr>
          <w:rFonts w:eastAsia="ArialMT"/>
          <w:b/>
          <w:sz w:val="20"/>
          <w:szCs w:val="20"/>
        </w:rPr>
        <w:t xml:space="preserve">Budżet </w:t>
      </w:r>
      <w:r w:rsidRPr="00D73B96">
        <w:rPr>
          <w:rFonts w:eastAsia="ArialMT"/>
          <w:sz w:val="20"/>
          <w:szCs w:val="20"/>
        </w:rPr>
        <w:t>: Planowane zobowiązania dla zwrotnych form dofinansowania wynoszą 420 000 tys. zł ze środków NFOŚiGW.</w:t>
      </w:r>
    </w:p>
    <w:p w:rsidR="00D73B96" w:rsidRPr="00D73B96" w:rsidRDefault="00D73B96" w:rsidP="00A0632E">
      <w:pPr>
        <w:autoSpaceDE w:val="0"/>
        <w:autoSpaceDN w:val="0"/>
        <w:adjustRightInd w:val="0"/>
        <w:spacing w:after="120" w:line="276" w:lineRule="auto"/>
        <w:ind w:firstLine="708"/>
        <w:jc w:val="both"/>
        <w:rPr>
          <w:rFonts w:eastAsia="ArialMT"/>
          <w:sz w:val="20"/>
          <w:szCs w:val="20"/>
        </w:rPr>
      </w:pPr>
      <w:r w:rsidRPr="00D73B96">
        <w:rPr>
          <w:rFonts w:eastAsia="ArialMT"/>
          <w:b/>
          <w:sz w:val="20"/>
          <w:szCs w:val="20"/>
        </w:rPr>
        <w:t>Czas:</w:t>
      </w:r>
      <w:r w:rsidRPr="00D73B96">
        <w:rPr>
          <w:rFonts w:eastAsia="ArialMT"/>
          <w:sz w:val="20"/>
          <w:szCs w:val="20"/>
        </w:rPr>
        <w:t xml:space="preserve">  Okres wdrażania w latach 2014 – 2022.</w:t>
      </w:r>
    </w:p>
    <w:p w:rsidR="00D73B96" w:rsidRPr="00D73B96" w:rsidRDefault="00D73B96" w:rsidP="00A0632E">
      <w:pPr>
        <w:autoSpaceDE w:val="0"/>
        <w:autoSpaceDN w:val="0"/>
        <w:adjustRightInd w:val="0"/>
        <w:spacing w:after="120" w:line="276" w:lineRule="auto"/>
        <w:ind w:firstLine="708"/>
        <w:jc w:val="both"/>
        <w:rPr>
          <w:rFonts w:eastAsia="ArialMT"/>
          <w:sz w:val="20"/>
          <w:szCs w:val="20"/>
        </w:rPr>
      </w:pPr>
      <w:r w:rsidRPr="00D73B96">
        <w:rPr>
          <w:rFonts w:eastAsia="ArialMT"/>
          <w:b/>
          <w:sz w:val="20"/>
          <w:szCs w:val="20"/>
        </w:rPr>
        <w:t>Instrumenty:</w:t>
      </w:r>
      <w:r w:rsidRPr="00D73B96">
        <w:rPr>
          <w:rFonts w:eastAsia="ArialMT"/>
          <w:sz w:val="20"/>
          <w:szCs w:val="20"/>
        </w:rPr>
        <w:t xml:space="preserve">  Pożyczka</w:t>
      </w:r>
    </w:p>
    <w:p w:rsidR="00D73B96" w:rsidRDefault="00D73B96" w:rsidP="00A0632E">
      <w:pPr>
        <w:autoSpaceDE w:val="0"/>
        <w:autoSpaceDN w:val="0"/>
        <w:adjustRightInd w:val="0"/>
        <w:spacing w:after="120" w:line="276" w:lineRule="auto"/>
        <w:ind w:left="708"/>
        <w:jc w:val="both"/>
        <w:rPr>
          <w:rFonts w:eastAsia="ArialMT"/>
          <w:sz w:val="20"/>
          <w:szCs w:val="20"/>
        </w:rPr>
      </w:pPr>
      <w:r w:rsidRPr="00D73B96">
        <w:rPr>
          <w:rFonts w:eastAsia="Arial-BoldMT"/>
          <w:b/>
          <w:bCs/>
          <w:sz w:val="20"/>
          <w:szCs w:val="20"/>
        </w:rPr>
        <w:t>Beneficjenci :</w:t>
      </w:r>
      <w:r w:rsidRPr="00D73B96">
        <w:rPr>
          <w:rFonts w:eastAsia="ArialMT"/>
          <w:sz w:val="20"/>
          <w:szCs w:val="20"/>
        </w:rPr>
        <w:t xml:space="preserve"> przedsiębiorcy w rozumieniu art. 43 Kodeksu cywilnego podejmujący realizację przedsięwzięć z zakresu odnawialnych źródeł energii na terenie Rzeczypospolitej Polskiej.</w:t>
      </w:r>
    </w:p>
    <w:p w:rsidR="00657899" w:rsidRDefault="00657899" w:rsidP="00657899">
      <w:pPr>
        <w:pStyle w:val="Akapitzlist"/>
        <w:autoSpaceDE w:val="0"/>
        <w:autoSpaceDN w:val="0"/>
        <w:adjustRightInd w:val="0"/>
        <w:spacing w:after="120" w:line="276" w:lineRule="auto"/>
        <w:jc w:val="both"/>
        <w:rPr>
          <w:rFonts w:eastAsia="Arial-BoldMT"/>
          <w:b/>
          <w:bCs/>
          <w:color w:val="000000" w:themeColor="text1"/>
          <w:sz w:val="20"/>
          <w:szCs w:val="20"/>
        </w:rPr>
      </w:pPr>
    </w:p>
    <w:p w:rsidR="00D73B96" w:rsidRPr="00D73B96" w:rsidRDefault="00D73B96" w:rsidP="00303BB2">
      <w:pPr>
        <w:pStyle w:val="Akapitzlist"/>
        <w:numPr>
          <w:ilvl w:val="0"/>
          <w:numId w:val="2"/>
        </w:numPr>
        <w:autoSpaceDE w:val="0"/>
        <w:autoSpaceDN w:val="0"/>
        <w:adjustRightInd w:val="0"/>
        <w:spacing w:after="120" w:line="276" w:lineRule="auto"/>
        <w:jc w:val="both"/>
        <w:rPr>
          <w:rFonts w:eastAsia="Arial-BoldMT"/>
          <w:b/>
          <w:bCs/>
          <w:color w:val="000000" w:themeColor="text1"/>
          <w:sz w:val="20"/>
          <w:szCs w:val="20"/>
        </w:rPr>
      </w:pPr>
      <w:r w:rsidRPr="00D73B96">
        <w:rPr>
          <w:rFonts w:eastAsia="Arial-BoldMT"/>
          <w:b/>
          <w:bCs/>
          <w:color w:val="000000" w:themeColor="text1"/>
          <w:sz w:val="20"/>
          <w:szCs w:val="20"/>
        </w:rPr>
        <w:t>Inwestycje energooszczędne w małych i średnich przedsiębiorstwach</w:t>
      </w:r>
    </w:p>
    <w:p w:rsidR="00D73B96" w:rsidRPr="00D73B96" w:rsidRDefault="00D73B96" w:rsidP="00A0632E">
      <w:pPr>
        <w:autoSpaceDE w:val="0"/>
        <w:autoSpaceDN w:val="0"/>
        <w:adjustRightInd w:val="0"/>
        <w:spacing w:after="120" w:line="276" w:lineRule="auto"/>
        <w:ind w:left="708"/>
        <w:jc w:val="both"/>
        <w:rPr>
          <w:rFonts w:eastAsia="ArialMT"/>
          <w:color w:val="000000" w:themeColor="text1"/>
          <w:sz w:val="20"/>
          <w:szCs w:val="20"/>
        </w:rPr>
      </w:pPr>
      <w:r w:rsidRPr="00D73B96">
        <w:rPr>
          <w:rFonts w:eastAsia="ArialMT"/>
          <w:color w:val="000000" w:themeColor="text1"/>
          <w:sz w:val="20"/>
          <w:szCs w:val="20"/>
        </w:rPr>
        <w:t xml:space="preserve">Inwestycje LEME </w:t>
      </w:r>
      <w:r w:rsidRPr="00D73B96">
        <w:rPr>
          <w:rFonts w:eastAsia="SymbolMT"/>
          <w:color w:val="000000" w:themeColor="text1"/>
          <w:sz w:val="20"/>
          <w:szCs w:val="20"/>
        </w:rPr>
        <w:t xml:space="preserve">- </w:t>
      </w:r>
      <w:r w:rsidRPr="00D73B96">
        <w:rPr>
          <w:rFonts w:eastAsia="ArialMT"/>
          <w:color w:val="000000" w:themeColor="text1"/>
          <w:sz w:val="20"/>
          <w:szCs w:val="20"/>
        </w:rPr>
        <w:t>przedsięwzięcia obejmujące realizację działań inwestycyjnych w zakresie:</w:t>
      </w:r>
    </w:p>
    <w:p w:rsidR="00D73B96" w:rsidRPr="00D73B96" w:rsidRDefault="00D73B96" w:rsidP="00303BB2">
      <w:pPr>
        <w:pStyle w:val="Akapitzlist"/>
        <w:numPr>
          <w:ilvl w:val="0"/>
          <w:numId w:val="3"/>
        </w:numPr>
        <w:autoSpaceDE w:val="0"/>
        <w:autoSpaceDN w:val="0"/>
        <w:adjustRightInd w:val="0"/>
        <w:spacing w:after="120" w:line="276" w:lineRule="auto"/>
        <w:jc w:val="both"/>
        <w:rPr>
          <w:rFonts w:eastAsia="ArialMT"/>
          <w:color w:val="000000" w:themeColor="text1"/>
          <w:sz w:val="20"/>
          <w:szCs w:val="20"/>
        </w:rPr>
      </w:pPr>
      <w:r w:rsidRPr="00D73B96">
        <w:rPr>
          <w:rFonts w:eastAsia="ArialMT"/>
          <w:color w:val="000000" w:themeColor="text1"/>
          <w:sz w:val="20"/>
          <w:szCs w:val="20"/>
        </w:rPr>
        <w:t>poprawy efektywności energetycznej lub zastosowania odnawialnych źródeł energii,</w:t>
      </w:r>
    </w:p>
    <w:p w:rsidR="00D73B96" w:rsidRPr="00D73B96" w:rsidRDefault="00D73B96" w:rsidP="00303BB2">
      <w:pPr>
        <w:pStyle w:val="Akapitzlist"/>
        <w:numPr>
          <w:ilvl w:val="0"/>
          <w:numId w:val="3"/>
        </w:numPr>
        <w:autoSpaceDE w:val="0"/>
        <w:autoSpaceDN w:val="0"/>
        <w:adjustRightInd w:val="0"/>
        <w:spacing w:after="120" w:line="276" w:lineRule="auto"/>
        <w:jc w:val="both"/>
        <w:rPr>
          <w:rFonts w:eastAsia="ArialMT"/>
          <w:color w:val="000000" w:themeColor="text1"/>
          <w:sz w:val="20"/>
          <w:szCs w:val="20"/>
        </w:rPr>
      </w:pPr>
      <w:r w:rsidRPr="00D73B96">
        <w:rPr>
          <w:rFonts w:eastAsia="ArialMT"/>
          <w:color w:val="000000" w:themeColor="text1"/>
          <w:sz w:val="20"/>
          <w:szCs w:val="20"/>
        </w:rPr>
        <w:t>termomodernizacji budynku/ów lub zastosowania odnawialnych źródeł energii, realizowane przez zakup materiałów/urządzeń/technologii zamieszczonych na Liście LEME.</w:t>
      </w:r>
    </w:p>
    <w:p w:rsidR="00D73B96" w:rsidRPr="00D73B96" w:rsidRDefault="00D73B96" w:rsidP="008F2445">
      <w:pPr>
        <w:autoSpaceDE w:val="0"/>
        <w:autoSpaceDN w:val="0"/>
        <w:adjustRightInd w:val="0"/>
        <w:spacing w:after="120" w:line="276" w:lineRule="auto"/>
        <w:ind w:left="708"/>
        <w:jc w:val="both"/>
        <w:rPr>
          <w:rFonts w:eastAsia="ArialMT"/>
          <w:color w:val="000000" w:themeColor="text1"/>
          <w:sz w:val="20"/>
          <w:szCs w:val="20"/>
        </w:rPr>
      </w:pPr>
      <w:r w:rsidRPr="00D73B96">
        <w:rPr>
          <w:rFonts w:eastAsia="ArialMT"/>
          <w:color w:val="000000" w:themeColor="text1"/>
          <w:sz w:val="20"/>
          <w:szCs w:val="20"/>
        </w:rPr>
        <w:t xml:space="preserve">Dotyczy przedsięwzięć, których finansowanie w formie kredytu z dotacją nie przekracza 250 000 EUR; </w:t>
      </w:r>
    </w:p>
    <w:p w:rsidR="00D73B96" w:rsidRPr="00D73B96" w:rsidRDefault="00D73B96" w:rsidP="00A0632E">
      <w:pPr>
        <w:autoSpaceDE w:val="0"/>
        <w:autoSpaceDN w:val="0"/>
        <w:adjustRightInd w:val="0"/>
        <w:spacing w:after="120" w:line="276" w:lineRule="auto"/>
        <w:ind w:left="708"/>
        <w:jc w:val="both"/>
        <w:rPr>
          <w:rFonts w:eastAsia="ArialMT"/>
          <w:color w:val="000000" w:themeColor="text1"/>
          <w:sz w:val="20"/>
          <w:szCs w:val="20"/>
        </w:rPr>
      </w:pPr>
      <w:r w:rsidRPr="00D73B96">
        <w:rPr>
          <w:rFonts w:eastAsia="ArialMT"/>
          <w:color w:val="000000" w:themeColor="text1"/>
          <w:sz w:val="20"/>
          <w:szCs w:val="20"/>
        </w:rPr>
        <w:t>Wspomagane przedsięwzięcia obejmujące realizację działań inwestycyjnych, które nie kwalifikują się jako Inwestycje LEME, w zakresie:</w:t>
      </w:r>
    </w:p>
    <w:p w:rsidR="00D73B96" w:rsidRPr="00D73B96" w:rsidRDefault="00D73B96" w:rsidP="00303BB2">
      <w:pPr>
        <w:pStyle w:val="Akapitzlist"/>
        <w:numPr>
          <w:ilvl w:val="0"/>
          <w:numId w:val="3"/>
        </w:numPr>
        <w:autoSpaceDE w:val="0"/>
        <w:autoSpaceDN w:val="0"/>
        <w:adjustRightInd w:val="0"/>
        <w:spacing w:after="120" w:line="276" w:lineRule="auto"/>
        <w:jc w:val="both"/>
        <w:rPr>
          <w:rFonts w:eastAsia="ArialMT"/>
          <w:color w:val="000000" w:themeColor="text1"/>
          <w:sz w:val="20"/>
          <w:szCs w:val="20"/>
        </w:rPr>
      </w:pPr>
      <w:r w:rsidRPr="00D73B96">
        <w:rPr>
          <w:rFonts w:eastAsia="ArialMT"/>
          <w:color w:val="000000" w:themeColor="text1"/>
          <w:sz w:val="20"/>
          <w:szCs w:val="20"/>
        </w:rPr>
        <w:t>poprawy efektywności energetycznej lub odnawialnych źródeł energii w wyniku których zostanie osiągnięte min. 20% oszczędności energii,</w:t>
      </w:r>
    </w:p>
    <w:p w:rsidR="00D73B96" w:rsidRPr="00D73B96" w:rsidRDefault="00D73B96" w:rsidP="00303BB2">
      <w:pPr>
        <w:pStyle w:val="Akapitzlist"/>
        <w:numPr>
          <w:ilvl w:val="0"/>
          <w:numId w:val="3"/>
        </w:numPr>
        <w:autoSpaceDE w:val="0"/>
        <w:autoSpaceDN w:val="0"/>
        <w:adjustRightInd w:val="0"/>
        <w:spacing w:after="120" w:line="276" w:lineRule="auto"/>
        <w:jc w:val="both"/>
        <w:rPr>
          <w:rFonts w:eastAsia="ArialMT"/>
          <w:color w:val="000000" w:themeColor="text1"/>
          <w:sz w:val="20"/>
          <w:szCs w:val="20"/>
        </w:rPr>
      </w:pPr>
      <w:r w:rsidRPr="00D73B96">
        <w:rPr>
          <w:rFonts w:eastAsia="ArialMT"/>
          <w:color w:val="000000" w:themeColor="text1"/>
          <w:sz w:val="20"/>
          <w:szCs w:val="20"/>
        </w:rPr>
        <w:t>termomodernizacji budynku/ów lub odnawialnych źródeł energii w wyniku których zostanie osiągnięte minimum 30% oszczędności energii.</w:t>
      </w:r>
    </w:p>
    <w:p w:rsidR="00D73B96" w:rsidRPr="008F2445" w:rsidRDefault="00D73B96" w:rsidP="008F2445">
      <w:pPr>
        <w:autoSpaceDE w:val="0"/>
        <w:autoSpaceDN w:val="0"/>
        <w:adjustRightInd w:val="0"/>
        <w:spacing w:after="120" w:line="276" w:lineRule="auto"/>
        <w:ind w:left="708"/>
        <w:jc w:val="both"/>
        <w:rPr>
          <w:rFonts w:eastAsia="ArialMT"/>
          <w:color w:val="000000" w:themeColor="text1"/>
          <w:sz w:val="20"/>
          <w:szCs w:val="20"/>
        </w:rPr>
      </w:pPr>
      <w:r w:rsidRPr="008F2445">
        <w:rPr>
          <w:rFonts w:eastAsia="ArialMT"/>
          <w:color w:val="000000" w:themeColor="text1"/>
          <w:sz w:val="20"/>
          <w:szCs w:val="20"/>
        </w:rPr>
        <w:t>Dotyczy przedsięwzięć, których finansowanie w formie kredytu z dotacją nie przekroczy 1 000 000 EUR.</w:t>
      </w:r>
    </w:p>
    <w:p w:rsidR="00D73B96" w:rsidRPr="00D73B96" w:rsidRDefault="00D73B96" w:rsidP="00A0632E">
      <w:pPr>
        <w:autoSpaceDE w:val="0"/>
        <w:autoSpaceDN w:val="0"/>
        <w:adjustRightInd w:val="0"/>
        <w:spacing w:after="120" w:line="276" w:lineRule="auto"/>
        <w:ind w:left="708"/>
        <w:jc w:val="both"/>
        <w:rPr>
          <w:rFonts w:eastAsia="ArialMT"/>
          <w:color w:val="000000" w:themeColor="text1"/>
          <w:sz w:val="20"/>
          <w:szCs w:val="20"/>
        </w:rPr>
      </w:pPr>
      <w:r w:rsidRPr="00D73B96">
        <w:rPr>
          <w:rFonts w:eastAsia="ArialMT"/>
          <w:b/>
          <w:color w:val="000000" w:themeColor="text1"/>
          <w:sz w:val="20"/>
          <w:szCs w:val="20"/>
        </w:rPr>
        <w:t>Cel:</w:t>
      </w:r>
      <w:r w:rsidRPr="00D73B96">
        <w:rPr>
          <w:rFonts w:eastAsia="ArialMT"/>
          <w:color w:val="000000" w:themeColor="text1"/>
          <w:sz w:val="20"/>
          <w:szCs w:val="20"/>
        </w:rPr>
        <w:t xml:space="preserve"> . Celem programu jest ograniczenie zużycia energii w wyniku realizacji inwestycji w zakresie efektywności energetycznej i zastosowania odnawialnych źródeł energii w sektorze małych i średnich przedsiębiorstw. W rezultacie realizacji programu nastąpi zmniejszenie emisji CO2..</w:t>
      </w:r>
    </w:p>
    <w:p w:rsidR="00D73B96" w:rsidRPr="00D73B96" w:rsidRDefault="00D73B96" w:rsidP="00A0632E">
      <w:pPr>
        <w:autoSpaceDE w:val="0"/>
        <w:autoSpaceDN w:val="0"/>
        <w:adjustRightInd w:val="0"/>
        <w:spacing w:after="120" w:line="276" w:lineRule="auto"/>
        <w:ind w:left="708"/>
        <w:jc w:val="both"/>
        <w:rPr>
          <w:rFonts w:eastAsia="ArialMT"/>
          <w:color w:val="000000" w:themeColor="text1"/>
          <w:sz w:val="20"/>
          <w:szCs w:val="20"/>
        </w:rPr>
      </w:pPr>
      <w:r w:rsidRPr="00D73B96">
        <w:rPr>
          <w:rFonts w:eastAsia="ArialMT"/>
          <w:b/>
          <w:color w:val="000000" w:themeColor="text1"/>
          <w:sz w:val="20"/>
          <w:szCs w:val="20"/>
        </w:rPr>
        <w:lastRenderedPageBreak/>
        <w:t xml:space="preserve">Budżet </w:t>
      </w:r>
      <w:r w:rsidRPr="00D73B96">
        <w:rPr>
          <w:rFonts w:eastAsia="ArialMT"/>
          <w:color w:val="000000" w:themeColor="text1"/>
          <w:sz w:val="20"/>
          <w:szCs w:val="20"/>
        </w:rPr>
        <w:t>: Planowane zobowiązania dla bezzwrotnych form dofinansowania wynoszą 60 000 tys. zł.</w:t>
      </w:r>
    </w:p>
    <w:p w:rsidR="00D73B96" w:rsidRPr="00D73B96" w:rsidRDefault="00D73B96" w:rsidP="00A0632E">
      <w:pPr>
        <w:autoSpaceDE w:val="0"/>
        <w:autoSpaceDN w:val="0"/>
        <w:adjustRightInd w:val="0"/>
        <w:spacing w:after="120" w:line="276" w:lineRule="auto"/>
        <w:ind w:left="708"/>
        <w:jc w:val="both"/>
        <w:rPr>
          <w:rFonts w:eastAsia="ArialMT"/>
          <w:color w:val="000000" w:themeColor="text1"/>
          <w:sz w:val="20"/>
          <w:szCs w:val="20"/>
        </w:rPr>
      </w:pPr>
      <w:r w:rsidRPr="00D73B96">
        <w:rPr>
          <w:rFonts w:eastAsia="ArialMT"/>
          <w:b/>
          <w:color w:val="000000" w:themeColor="text1"/>
          <w:sz w:val="20"/>
          <w:szCs w:val="20"/>
        </w:rPr>
        <w:t>Czas:</w:t>
      </w:r>
      <w:r w:rsidRPr="00D73B96">
        <w:rPr>
          <w:rFonts w:eastAsia="ArialMT"/>
          <w:color w:val="000000" w:themeColor="text1"/>
          <w:sz w:val="20"/>
          <w:szCs w:val="20"/>
        </w:rPr>
        <w:t xml:space="preserve"> Okres wdrażania w latach 2014 – 2016 z możliwością zawierania umów do 2015 r</w:t>
      </w:r>
    </w:p>
    <w:p w:rsidR="00D73B96" w:rsidRPr="00D73B96" w:rsidRDefault="00D73B96" w:rsidP="00A0632E">
      <w:pPr>
        <w:autoSpaceDE w:val="0"/>
        <w:autoSpaceDN w:val="0"/>
        <w:adjustRightInd w:val="0"/>
        <w:spacing w:after="120" w:line="276" w:lineRule="auto"/>
        <w:ind w:left="708"/>
        <w:jc w:val="both"/>
        <w:rPr>
          <w:rFonts w:eastAsia="ArialMT"/>
          <w:color w:val="000000" w:themeColor="text1"/>
          <w:sz w:val="20"/>
          <w:szCs w:val="20"/>
        </w:rPr>
      </w:pPr>
      <w:r w:rsidRPr="00D73B96">
        <w:rPr>
          <w:rFonts w:eastAsia="ArialMT"/>
          <w:b/>
          <w:color w:val="000000" w:themeColor="text1"/>
          <w:sz w:val="20"/>
          <w:szCs w:val="20"/>
        </w:rPr>
        <w:t>Instrumenty:</w:t>
      </w:r>
      <w:r w:rsidRPr="00D73B96">
        <w:rPr>
          <w:rFonts w:eastAsia="ArialMT"/>
          <w:color w:val="000000" w:themeColor="text1"/>
          <w:sz w:val="20"/>
          <w:szCs w:val="20"/>
        </w:rPr>
        <w:t xml:space="preserve"> dotacje na częściowe spłaty kapitału kredytów udzielane są w ramach limitu przyznanego bankowi przez NFOŚiGW.</w:t>
      </w:r>
    </w:p>
    <w:p w:rsidR="00657899" w:rsidRDefault="00D73B96" w:rsidP="00297E90">
      <w:pPr>
        <w:autoSpaceDE w:val="0"/>
        <w:autoSpaceDN w:val="0"/>
        <w:adjustRightInd w:val="0"/>
        <w:spacing w:before="240" w:after="120" w:line="276" w:lineRule="auto"/>
        <w:ind w:left="708"/>
        <w:jc w:val="both"/>
        <w:rPr>
          <w:rFonts w:eastAsia="ArialMT"/>
          <w:color w:val="000000" w:themeColor="text1"/>
          <w:sz w:val="20"/>
          <w:szCs w:val="20"/>
        </w:rPr>
      </w:pPr>
      <w:r w:rsidRPr="00D73B96">
        <w:rPr>
          <w:rFonts w:eastAsia="Arial-BoldMT"/>
          <w:b/>
          <w:bCs/>
          <w:color w:val="000000" w:themeColor="text1"/>
          <w:sz w:val="20"/>
          <w:szCs w:val="20"/>
        </w:rPr>
        <w:t xml:space="preserve">Beneficjenci: </w:t>
      </w:r>
      <w:r w:rsidRPr="00D73B96">
        <w:rPr>
          <w:rFonts w:eastAsia="ArialMT"/>
          <w:color w:val="000000" w:themeColor="text1"/>
          <w:sz w:val="20"/>
          <w:szCs w:val="20"/>
        </w:rPr>
        <w:t>Zarejestrowane w Polsce mikroprzedsiębiorstwa, małe i średnie przedsiębiorstwa (zwane dalej MŚP), tj. przedsiębiorstwa zatrudniające mniej niż 250 pracowników, których roczne obroty nie przekraczają 50 mln EUR lub aktywa nie przekraczają wartości 43 mln EUR oraz spełniające pozostałe warunki określone w definicji mikro, małych i średnich przedsiębiorstw zawartej w załączniku I do rozporządzenia Komisji (WE) nr 800/2008 z dnia 6 sierpnia uznające niektóre rodzaje pomocy za zgodne ze wspólnym rynkiem w zastosowaniu art. 87 i 88 Traktatu (ogólne rozporządzenie w sprawie wyłączeń blokowych) (Dz. Urz.</w:t>
      </w:r>
      <w:r w:rsidR="00297E90">
        <w:rPr>
          <w:rFonts w:eastAsia="ArialMT"/>
          <w:color w:val="000000" w:themeColor="text1"/>
          <w:sz w:val="20"/>
          <w:szCs w:val="20"/>
        </w:rPr>
        <w:t xml:space="preserve"> UE L 214 z 09.08.2008)</w:t>
      </w:r>
    </w:p>
    <w:p w:rsidR="00657899" w:rsidRDefault="00657899" w:rsidP="00657899">
      <w:pPr>
        <w:pStyle w:val="Akapitzlist"/>
        <w:autoSpaceDE w:val="0"/>
        <w:autoSpaceDN w:val="0"/>
        <w:adjustRightInd w:val="0"/>
        <w:spacing w:after="120" w:line="276" w:lineRule="auto"/>
        <w:jc w:val="both"/>
        <w:rPr>
          <w:rFonts w:eastAsia="Arial-BoldMT"/>
          <w:b/>
          <w:bCs/>
          <w:color w:val="000000" w:themeColor="text1"/>
          <w:sz w:val="20"/>
          <w:szCs w:val="20"/>
        </w:rPr>
      </w:pPr>
    </w:p>
    <w:p w:rsidR="00D73B96" w:rsidRPr="00D73B96" w:rsidRDefault="00D73B96" w:rsidP="00303BB2">
      <w:pPr>
        <w:pStyle w:val="Akapitzlist"/>
        <w:numPr>
          <w:ilvl w:val="0"/>
          <w:numId w:val="2"/>
        </w:numPr>
        <w:autoSpaceDE w:val="0"/>
        <w:autoSpaceDN w:val="0"/>
        <w:adjustRightInd w:val="0"/>
        <w:spacing w:after="120" w:line="276" w:lineRule="auto"/>
        <w:jc w:val="both"/>
        <w:rPr>
          <w:rFonts w:eastAsia="Arial-BoldMT"/>
          <w:b/>
          <w:bCs/>
          <w:color w:val="000000" w:themeColor="text1"/>
          <w:sz w:val="20"/>
          <w:szCs w:val="20"/>
        </w:rPr>
      </w:pPr>
      <w:r w:rsidRPr="00D73B96">
        <w:rPr>
          <w:rFonts w:eastAsia="Arial-BoldMT"/>
          <w:b/>
          <w:bCs/>
          <w:color w:val="000000" w:themeColor="text1"/>
          <w:sz w:val="20"/>
          <w:szCs w:val="20"/>
        </w:rPr>
        <w:t>KAWKA – Likwidacja niskiej emisji wspierająca wzrost efektywności energetycznej i rozwój rozproszonych odnawialnych źródeł energii</w:t>
      </w:r>
    </w:p>
    <w:p w:rsidR="00D73B96" w:rsidRPr="00D73B96" w:rsidRDefault="00D73B96" w:rsidP="00D73B96">
      <w:pPr>
        <w:autoSpaceDE w:val="0"/>
        <w:autoSpaceDN w:val="0"/>
        <w:adjustRightInd w:val="0"/>
        <w:spacing w:after="120" w:line="276" w:lineRule="auto"/>
        <w:ind w:left="708"/>
        <w:jc w:val="both"/>
        <w:rPr>
          <w:rFonts w:eastAsia="ArialMT"/>
          <w:sz w:val="20"/>
          <w:szCs w:val="20"/>
        </w:rPr>
      </w:pPr>
      <w:r w:rsidRPr="00D73B96">
        <w:rPr>
          <w:rFonts w:eastAsia="ArialMT"/>
          <w:sz w:val="20"/>
          <w:szCs w:val="20"/>
        </w:rPr>
        <w:t>Dofinansowaniem mogą być objęte przedsięwzięcia ujęte w obowiązujących, na dzień ogłoszenia przez WFOŚiGW konkursu, programach ochrony powietrza, w szczególności:</w:t>
      </w:r>
    </w:p>
    <w:p w:rsidR="00D73B96" w:rsidRPr="00D73B96" w:rsidRDefault="00D73B96" w:rsidP="00303BB2">
      <w:pPr>
        <w:pStyle w:val="Akapitzlist"/>
        <w:numPr>
          <w:ilvl w:val="0"/>
          <w:numId w:val="4"/>
        </w:numPr>
        <w:autoSpaceDE w:val="0"/>
        <w:autoSpaceDN w:val="0"/>
        <w:adjustRightInd w:val="0"/>
        <w:spacing w:after="120" w:line="276" w:lineRule="auto"/>
        <w:ind w:left="1276"/>
        <w:jc w:val="both"/>
        <w:rPr>
          <w:rFonts w:eastAsia="ArialMT"/>
          <w:sz w:val="20"/>
          <w:szCs w:val="20"/>
        </w:rPr>
      </w:pPr>
      <w:r w:rsidRPr="00D73B96">
        <w:rPr>
          <w:rFonts w:eastAsia="ArialMT"/>
          <w:sz w:val="20"/>
          <w:szCs w:val="20"/>
        </w:rPr>
        <w:t>przedsięwzięcia mające na celu ograniczanie niskiej emisji związane z podnoszeniem efektywności energetycznej oraz wykorzystaniem układów wysokosprawnej kogeneracji i odnawialnych źródeł energii, m.in.:</w:t>
      </w:r>
    </w:p>
    <w:p w:rsidR="00D73B96" w:rsidRPr="00D73B96" w:rsidRDefault="00D73B96" w:rsidP="00303BB2">
      <w:pPr>
        <w:pStyle w:val="Akapitzlist"/>
        <w:numPr>
          <w:ilvl w:val="0"/>
          <w:numId w:val="20"/>
        </w:numPr>
        <w:autoSpaceDE w:val="0"/>
        <w:autoSpaceDN w:val="0"/>
        <w:adjustRightInd w:val="0"/>
        <w:spacing w:after="120" w:line="276" w:lineRule="auto"/>
        <w:jc w:val="both"/>
        <w:rPr>
          <w:rFonts w:eastAsia="ArialMT"/>
          <w:sz w:val="20"/>
          <w:szCs w:val="20"/>
        </w:rPr>
      </w:pPr>
      <w:r w:rsidRPr="00D73B96">
        <w:rPr>
          <w:rFonts w:eastAsia="ArialMT"/>
          <w:sz w:val="20"/>
          <w:szCs w:val="20"/>
        </w:rPr>
        <w:t>likwidacja lokalnych źródeł ciepła,</w:t>
      </w:r>
    </w:p>
    <w:p w:rsidR="00D73B96" w:rsidRPr="00D73B96" w:rsidRDefault="00D73B96" w:rsidP="00303BB2">
      <w:pPr>
        <w:pStyle w:val="Akapitzlist"/>
        <w:numPr>
          <w:ilvl w:val="0"/>
          <w:numId w:val="20"/>
        </w:numPr>
        <w:autoSpaceDE w:val="0"/>
        <w:autoSpaceDN w:val="0"/>
        <w:adjustRightInd w:val="0"/>
        <w:spacing w:after="120" w:line="276" w:lineRule="auto"/>
        <w:jc w:val="both"/>
        <w:rPr>
          <w:rFonts w:eastAsia="ArialMT"/>
          <w:sz w:val="20"/>
          <w:szCs w:val="20"/>
        </w:rPr>
      </w:pPr>
      <w:r w:rsidRPr="00D73B96">
        <w:rPr>
          <w:rFonts w:eastAsia="ArialMT"/>
          <w:sz w:val="20"/>
          <w:szCs w:val="20"/>
        </w:rPr>
        <w:t>zastosowanie kolektorów słonecznych celem obniżenia emisji,</w:t>
      </w:r>
    </w:p>
    <w:p w:rsidR="00D73B96" w:rsidRPr="00D73B96" w:rsidRDefault="00D73B96" w:rsidP="00303BB2">
      <w:pPr>
        <w:pStyle w:val="Akapitzlist"/>
        <w:numPr>
          <w:ilvl w:val="0"/>
          <w:numId w:val="20"/>
        </w:numPr>
        <w:autoSpaceDE w:val="0"/>
        <w:autoSpaceDN w:val="0"/>
        <w:adjustRightInd w:val="0"/>
        <w:spacing w:after="120" w:line="276" w:lineRule="auto"/>
        <w:jc w:val="both"/>
        <w:rPr>
          <w:rFonts w:eastAsia="ArialMT"/>
          <w:sz w:val="20"/>
          <w:szCs w:val="20"/>
        </w:rPr>
      </w:pPr>
      <w:r w:rsidRPr="00D73B96">
        <w:rPr>
          <w:rFonts w:eastAsia="ArialMT"/>
          <w:sz w:val="20"/>
          <w:szCs w:val="20"/>
        </w:rPr>
        <w:t>termomodernizacja budynków wielorodzinnych zgodnie z zakresem wynikającym z  wykonanego audytu energetycznego, jako element towarzyszący wymianie źródła ciepła;</w:t>
      </w:r>
    </w:p>
    <w:p w:rsidR="00D73B96" w:rsidRPr="00D73B96" w:rsidRDefault="00D73B96" w:rsidP="00303BB2">
      <w:pPr>
        <w:pStyle w:val="Akapitzlist"/>
        <w:numPr>
          <w:ilvl w:val="0"/>
          <w:numId w:val="4"/>
        </w:numPr>
        <w:autoSpaceDE w:val="0"/>
        <w:autoSpaceDN w:val="0"/>
        <w:adjustRightInd w:val="0"/>
        <w:spacing w:after="120" w:line="276" w:lineRule="auto"/>
        <w:ind w:left="1276"/>
        <w:jc w:val="both"/>
        <w:rPr>
          <w:rFonts w:eastAsia="ArialMT"/>
          <w:sz w:val="20"/>
          <w:szCs w:val="20"/>
        </w:rPr>
      </w:pPr>
      <w:r w:rsidRPr="00D73B96">
        <w:rPr>
          <w:rFonts w:eastAsia="ArialMT"/>
          <w:sz w:val="20"/>
          <w:szCs w:val="20"/>
        </w:rPr>
        <w:t>kampanie edukacyjne (dotyczy beneficjentów) pokazujące korzyści zdrowotne i społeczne z eliminacji niskiej emisji.</w:t>
      </w:r>
    </w:p>
    <w:p w:rsidR="00D73B96" w:rsidRPr="00D73B96" w:rsidRDefault="00D73B96" w:rsidP="00A0632E">
      <w:pPr>
        <w:autoSpaceDE w:val="0"/>
        <w:autoSpaceDN w:val="0"/>
        <w:adjustRightInd w:val="0"/>
        <w:spacing w:after="120" w:line="276" w:lineRule="auto"/>
        <w:ind w:left="708"/>
        <w:jc w:val="both"/>
        <w:rPr>
          <w:rFonts w:eastAsia="ArialMT"/>
          <w:sz w:val="20"/>
          <w:szCs w:val="20"/>
        </w:rPr>
      </w:pPr>
      <w:r w:rsidRPr="00D73B96">
        <w:rPr>
          <w:rFonts w:eastAsia="ArialMT"/>
          <w:b/>
          <w:sz w:val="20"/>
          <w:szCs w:val="20"/>
        </w:rPr>
        <w:t>Cel:</w:t>
      </w:r>
      <w:r w:rsidRPr="00D73B96">
        <w:rPr>
          <w:rFonts w:eastAsia="ArialMT"/>
          <w:sz w:val="20"/>
          <w:szCs w:val="20"/>
        </w:rPr>
        <w:t xml:space="preserve"> . Celem programu jest osiągnięcie efektu ekologicznego polegającego na ograniczeniu lub uniknięciu emisji CO2 w wyniku zwiększenia produkcji energii ze źródeł odnawialnych przez zakup i montaż małych lub mikroinstalacji odnawialnych źródeł energii.</w:t>
      </w:r>
    </w:p>
    <w:p w:rsidR="00D73B96" w:rsidRPr="00D73B96" w:rsidRDefault="00D73B96" w:rsidP="00A0632E">
      <w:pPr>
        <w:autoSpaceDE w:val="0"/>
        <w:autoSpaceDN w:val="0"/>
        <w:adjustRightInd w:val="0"/>
        <w:spacing w:after="120" w:line="276" w:lineRule="auto"/>
        <w:ind w:firstLine="708"/>
        <w:jc w:val="both"/>
        <w:rPr>
          <w:rFonts w:eastAsia="ArialMT"/>
          <w:sz w:val="20"/>
          <w:szCs w:val="20"/>
        </w:rPr>
      </w:pPr>
      <w:r w:rsidRPr="00D73B96">
        <w:rPr>
          <w:rFonts w:eastAsia="ArialMT"/>
          <w:b/>
          <w:sz w:val="20"/>
          <w:szCs w:val="20"/>
        </w:rPr>
        <w:t xml:space="preserve">Budżet </w:t>
      </w:r>
      <w:r w:rsidRPr="00D73B96">
        <w:rPr>
          <w:rFonts w:eastAsia="ArialMT"/>
          <w:sz w:val="20"/>
          <w:szCs w:val="20"/>
        </w:rPr>
        <w:t>: Budżet programu wynosi 800 000 tys. zł.</w:t>
      </w:r>
    </w:p>
    <w:p w:rsidR="00D73B96" w:rsidRPr="00D73B96" w:rsidRDefault="00D73B96" w:rsidP="00A0632E">
      <w:pPr>
        <w:autoSpaceDE w:val="0"/>
        <w:autoSpaceDN w:val="0"/>
        <w:adjustRightInd w:val="0"/>
        <w:spacing w:after="120" w:line="276" w:lineRule="auto"/>
        <w:ind w:firstLine="708"/>
        <w:jc w:val="both"/>
        <w:rPr>
          <w:rFonts w:eastAsia="ArialMT"/>
          <w:sz w:val="20"/>
          <w:szCs w:val="20"/>
        </w:rPr>
      </w:pPr>
      <w:r w:rsidRPr="00D73B96">
        <w:rPr>
          <w:rFonts w:eastAsia="ArialMT"/>
          <w:b/>
          <w:sz w:val="20"/>
          <w:szCs w:val="20"/>
        </w:rPr>
        <w:t>Czas:</w:t>
      </w:r>
      <w:r w:rsidRPr="00D73B96">
        <w:rPr>
          <w:rFonts w:eastAsia="ArialMT"/>
          <w:sz w:val="20"/>
          <w:szCs w:val="20"/>
        </w:rPr>
        <w:t xml:space="preserve"> Lata 2014-2022 z możliwością zawierania umów kredytu do 2020 r.</w:t>
      </w:r>
    </w:p>
    <w:p w:rsidR="00D73B96" w:rsidRPr="00D73B96" w:rsidRDefault="00D73B96" w:rsidP="00A0632E">
      <w:pPr>
        <w:autoSpaceDE w:val="0"/>
        <w:autoSpaceDN w:val="0"/>
        <w:adjustRightInd w:val="0"/>
        <w:spacing w:after="120" w:line="276" w:lineRule="auto"/>
        <w:ind w:firstLine="708"/>
        <w:jc w:val="both"/>
        <w:rPr>
          <w:rFonts w:eastAsia="ArialMT"/>
          <w:sz w:val="20"/>
          <w:szCs w:val="20"/>
        </w:rPr>
      </w:pPr>
      <w:r w:rsidRPr="00D73B96">
        <w:rPr>
          <w:rFonts w:eastAsia="ArialMT"/>
          <w:b/>
          <w:sz w:val="20"/>
          <w:szCs w:val="20"/>
        </w:rPr>
        <w:t>Instrumenty:</w:t>
      </w:r>
      <w:r w:rsidRPr="00D73B96">
        <w:rPr>
          <w:rFonts w:eastAsia="ArialMT"/>
          <w:sz w:val="20"/>
          <w:szCs w:val="20"/>
        </w:rPr>
        <w:t xml:space="preserve"> Kredyt z dotacją łącznie do 100% kosztów kwalifikowanych, w tym:</w:t>
      </w:r>
    </w:p>
    <w:p w:rsidR="00D73B96" w:rsidRPr="00D73B96" w:rsidRDefault="00D73B96" w:rsidP="00303BB2">
      <w:pPr>
        <w:pStyle w:val="Akapitzlist"/>
        <w:numPr>
          <w:ilvl w:val="0"/>
          <w:numId w:val="12"/>
        </w:numPr>
        <w:autoSpaceDE w:val="0"/>
        <w:autoSpaceDN w:val="0"/>
        <w:adjustRightInd w:val="0"/>
        <w:spacing w:after="120" w:line="276" w:lineRule="auto"/>
        <w:jc w:val="both"/>
        <w:rPr>
          <w:rFonts w:eastAsia="ArialMT"/>
          <w:sz w:val="20"/>
          <w:szCs w:val="20"/>
        </w:rPr>
      </w:pPr>
      <w:r w:rsidRPr="00D73B96">
        <w:rPr>
          <w:rFonts w:eastAsia="ArialMT"/>
          <w:sz w:val="20"/>
          <w:szCs w:val="20"/>
        </w:rPr>
        <w:t>dotacja 20-40% kwoty dofinansowania (15 lub 30% po 2015 r.);</w:t>
      </w:r>
    </w:p>
    <w:p w:rsidR="00D73B96" w:rsidRPr="00D73B96" w:rsidRDefault="00D73B96" w:rsidP="00303BB2">
      <w:pPr>
        <w:pStyle w:val="Akapitzlist"/>
        <w:numPr>
          <w:ilvl w:val="0"/>
          <w:numId w:val="12"/>
        </w:numPr>
        <w:autoSpaceDE w:val="0"/>
        <w:autoSpaceDN w:val="0"/>
        <w:adjustRightInd w:val="0"/>
        <w:spacing w:after="120" w:line="276" w:lineRule="auto"/>
        <w:jc w:val="both"/>
        <w:rPr>
          <w:rFonts w:eastAsia="ArialMT"/>
          <w:sz w:val="20"/>
          <w:szCs w:val="20"/>
        </w:rPr>
      </w:pPr>
      <w:r w:rsidRPr="00D73B96">
        <w:rPr>
          <w:rFonts w:eastAsia="ArialMT"/>
          <w:sz w:val="20"/>
          <w:szCs w:val="20"/>
        </w:rPr>
        <w:lastRenderedPageBreak/>
        <w:t>pożyczka o oprocentowaniu w skali roku – 1% (okres finansowania pożyczką/kredytem do 15 lat).</w:t>
      </w:r>
    </w:p>
    <w:p w:rsidR="00D73B96" w:rsidRPr="00D73B96" w:rsidRDefault="00D73B96" w:rsidP="00A0632E">
      <w:pPr>
        <w:autoSpaceDE w:val="0"/>
        <w:autoSpaceDN w:val="0"/>
        <w:adjustRightInd w:val="0"/>
        <w:spacing w:after="120" w:line="276" w:lineRule="auto"/>
        <w:ind w:left="708"/>
        <w:jc w:val="both"/>
        <w:rPr>
          <w:rFonts w:eastAsia="ArialMT"/>
          <w:sz w:val="20"/>
          <w:szCs w:val="20"/>
        </w:rPr>
      </w:pPr>
      <w:r w:rsidRPr="00D73B96">
        <w:rPr>
          <w:rFonts w:eastAsia="Arial-BoldMT"/>
          <w:b/>
          <w:bCs/>
          <w:sz w:val="20"/>
          <w:szCs w:val="20"/>
        </w:rPr>
        <w:t>Beneficjenci :</w:t>
      </w:r>
      <w:r w:rsidRPr="00D73B96">
        <w:rPr>
          <w:rFonts w:eastAsia="ArialMT"/>
          <w:sz w:val="20"/>
          <w:szCs w:val="20"/>
        </w:rPr>
        <w:t xml:space="preserve"> osoby fizyczne posiadające prawo do dysponowania budynkiem mieszkalnym;</w:t>
      </w:r>
    </w:p>
    <w:p w:rsidR="00297E90" w:rsidRDefault="00D73B96" w:rsidP="00303BB2">
      <w:pPr>
        <w:pStyle w:val="Akapitzlist"/>
        <w:numPr>
          <w:ilvl w:val="0"/>
          <w:numId w:val="13"/>
        </w:numPr>
        <w:autoSpaceDE w:val="0"/>
        <w:autoSpaceDN w:val="0"/>
        <w:adjustRightInd w:val="0"/>
        <w:spacing w:after="120" w:line="276" w:lineRule="auto"/>
        <w:jc w:val="both"/>
        <w:rPr>
          <w:rFonts w:eastAsia="ArialMT"/>
          <w:sz w:val="20"/>
          <w:szCs w:val="20"/>
        </w:rPr>
      </w:pPr>
      <w:r w:rsidRPr="00D73B96">
        <w:rPr>
          <w:rFonts w:eastAsia="ArialMT"/>
          <w:sz w:val="20"/>
          <w:szCs w:val="20"/>
        </w:rPr>
        <w:t>wspólnoty i spółdzielnie mieszkaniowe;</w:t>
      </w:r>
    </w:p>
    <w:p w:rsidR="00D73B96" w:rsidRPr="00297E90" w:rsidRDefault="00D73B96" w:rsidP="00303BB2">
      <w:pPr>
        <w:pStyle w:val="Akapitzlist"/>
        <w:numPr>
          <w:ilvl w:val="0"/>
          <w:numId w:val="13"/>
        </w:numPr>
        <w:autoSpaceDE w:val="0"/>
        <w:autoSpaceDN w:val="0"/>
        <w:adjustRightInd w:val="0"/>
        <w:spacing w:after="120" w:line="276" w:lineRule="auto"/>
        <w:jc w:val="both"/>
        <w:rPr>
          <w:rFonts w:eastAsia="ArialMT"/>
          <w:sz w:val="20"/>
          <w:szCs w:val="20"/>
        </w:rPr>
      </w:pPr>
      <w:r w:rsidRPr="00297E90">
        <w:rPr>
          <w:rFonts w:eastAsia="ArialMT"/>
          <w:sz w:val="20"/>
          <w:szCs w:val="20"/>
        </w:rPr>
        <w:t>jednostki samorządu terytorialnego i ich związki</w:t>
      </w:r>
    </w:p>
    <w:p w:rsidR="008F2445" w:rsidRDefault="008F2445" w:rsidP="00A0632E">
      <w:pPr>
        <w:pStyle w:val="Akapitzlist"/>
        <w:autoSpaceDE w:val="0"/>
        <w:autoSpaceDN w:val="0"/>
        <w:adjustRightInd w:val="0"/>
        <w:spacing w:after="120" w:line="276" w:lineRule="auto"/>
        <w:ind w:left="2114"/>
        <w:jc w:val="both"/>
        <w:rPr>
          <w:rFonts w:eastAsia="ArialMT"/>
          <w:sz w:val="20"/>
          <w:szCs w:val="20"/>
        </w:rPr>
      </w:pPr>
    </w:p>
    <w:p w:rsidR="00D73B96" w:rsidRPr="00D73B96" w:rsidRDefault="00D73B96" w:rsidP="00303BB2">
      <w:pPr>
        <w:pStyle w:val="Akapitzlist"/>
        <w:numPr>
          <w:ilvl w:val="0"/>
          <w:numId w:val="2"/>
        </w:numPr>
        <w:autoSpaceDE w:val="0"/>
        <w:autoSpaceDN w:val="0"/>
        <w:adjustRightInd w:val="0"/>
        <w:spacing w:after="120" w:line="276" w:lineRule="auto"/>
        <w:jc w:val="both"/>
        <w:rPr>
          <w:rFonts w:eastAsia="Arial-BoldMT"/>
          <w:b/>
          <w:bCs/>
          <w:color w:val="000000" w:themeColor="text1"/>
          <w:sz w:val="20"/>
          <w:szCs w:val="20"/>
        </w:rPr>
      </w:pPr>
      <w:r w:rsidRPr="00D73B96">
        <w:rPr>
          <w:rFonts w:eastAsia="Arial-BoldMT"/>
          <w:b/>
          <w:bCs/>
          <w:color w:val="000000" w:themeColor="text1"/>
          <w:sz w:val="20"/>
          <w:szCs w:val="20"/>
        </w:rPr>
        <w:t>Prosument – linia dofinansowania z przeznaczeniem na zakup i montaż mikro-instalacji odnawialnych źródeł energii</w:t>
      </w:r>
    </w:p>
    <w:p w:rsidR="00D73B96" w:rsidRPr="00D73B96" w:rsidRDefault="00D73B96" w:rsidP="00D73B96">
      <w:pPr>
        <w:autoSpaceDE w:val="0"/>
        <w:autoSpaceDN w:val="0"/>
        <w:adjustRightInd w:val="0"/>
        <w:spacing w:after="120" w:line="276" w:lineRule="auto"/>
        <w:ind w:left="720"/>
        <w:jc w:val="both"/>
        <w:rPr>
          <w:rFonts w:eastAsia="ArialMT"/>
          <w:sz w:val="20"/>
          <w:szCs w:val="20"/>
        </w:rPr>
      </w:pPr>
      <w:r w:rsidRPr="00D73B96">
        <w:rPr>
          <w:rFonts w:eastAsia="ArialMT"/>
          <w:sz w:val="20"/>
          <w:szCs w:val="20"/>
        </w:rPr>
        <w:t>Finansowane będą instalacje do produkcji energii elektrycznej lub ciepła i energii elektrycznej wykorzystujące:</w:t>
      </w:r>
    </w:p>
    <w:p w:rsidR="00D73B96" w:rsidRPr="00D73B96" w:rsidRDefault="00D73B96" w:rsidP="00303BB2">
      <w:pPr>
        <w:pStyle w:val="Akapitzlist"/>
        <w:numPr>
          <w:ilvl w:val="0"/>
          <w:numId w:val="11"/>
        </w:numPr>
        <w:autoSpaceDE w:val="0"/>
        <w:autoSpaceDN w:val="0"/>
        <w:adjustRightInd w:val="0"/>
        <w:spacing w:after="120" w:line="276" w:lineRule="auto"/>
        <w:jc w:val="both"/>
        <w:rPr>
          <w:rFonts w:eastAsia="ArialMT"/>
          <w:sz w:val="20"/>
          <w:szCs w:val="20"/>
        </w:rPr>
      </w:pPr>
      <w:r w:rsidRPr="00D73B96">
        <w:rPr>
          <w:rFonts w:eastAsia="ArialMT"/>
          <w:sz w:val="20"/>
          <w:szCs w:val="20"/>
        </w:rPr>
        <w:t>źródła ciepła opalane biomasą, pompy ciepła oraz kolektory słoneczne o zainstalowanej mocy cieplnej do 300 kWt;</w:t>
      </w:r>
    </w:p>
    <w:p w:rsidR="00D73B96" w:rsidRPr="00D73B96" w:rsidRDefault="00D73B96" w:rsidP="00303BB2">
      <w:pPr>
        <w:pStyle w:val="Akapitzlist"/>
        <w:numPr>
          <w:ilvl w:val="0"/>
          <w:numId w:val="11"/>
        </w:numPr>
        <w:autoSpaceDE w:val="0"/>
        <w:autoSpaceDN w:val="0"/>
        <w:adjustRightInd w:val="0"/>
        <w:spacing w:after="120" w:line="276" w:lineRule="auto"/>
        <w:jc w:val="both"/>
        <w:rPr>
          <w:rFonts w:eastAsia="ArialMT"/>
          <w:sz w:val="20"/>
          <w:szCs w:val="20"/>
        </w:rPr>
      </w:pPr>
      <w:r w:rsidRPr="00D73B96">
        <w:rPr>
          <w:rFonts w:eastAsia="ArialMT"/>
          <w:sz w:val="20"/>
          <w:szCs w:val="20"/>
        </w:rPr>
        <w:t xml:space="preserve">systemy fotowoltaiczne, małe elektrownie wiatrowe, oraz układy mikrokogeneracyjne (w tym mikrobiogazownie) o zainstalowanej mocy elektrycznej do 40 </w:t>
      </w:r>
      <w:proofErr w:type="spellStart"/>
      <w:r w:rsidRPr="00D73B96">
        <w:rPr>
          <w:rFonts w:eastAsia="ArialMT"/>
          <w:sz w:val="20"/>
          <w:szCs w:val="20"/>
        </w:rPr>
        <w:t>kWe</w:t>
      </w:r>
      <w:proofErr w:type="spellEnd"/>
      <w:r w:rsidRPr="00D73B96">
        <w:rPr>
          <w:rFonts w:eastAsia="ArialMT"/>
          <w:sz w:val="20"/>
          <w:szCs w:val="20"/>
        </w:rPr>
        <w:t>, dla potrzeb budynków mieszkalnych jednorodzinnych lub wielorodzinnych, w tym również będących w budowie.</w:t>
      </w:r>
    </w:p>
    <w:p w:rsidR="00D73B96" w:rsidRPr="00D73B96" w:rsidRDefault="00D73B96" w:rsidP="00D73B96">
      <w:pPr>
        <w:autoSpaceDE w:val="0"/>
        <w:autoSpaceDN w:val="0"/>
        <w:adjustRightInd w:val="0"/>
        <w:spacing w:after="120" w:line="276" w:lineRule="auto"/>
        <w:ind w:left="720"/>
        <w:jc w:val="both"/>
        <w:rPr>
          <w:rFonts w:eastAsia="ArialMT"/>
          <w:sz w:val="20"/>
          <w:szCs w:val="20"/>
        </w:rPr>
      </w:pPr>
      <w:r w:rsidRPr="00D73B96">
        <w:rPr>
          <w:rFonts w:eastAsia="ArialMT"/>
          <w:sz w:val="20"/>
          <w:szCs w:val="20"/>
        </w:rPr>
        <w:t>Wymagana jest wysoka jakość instalowanych urządzeń, gwarancja producenta głównych urządzeń na co najmniej 5 lat, rękojmia wykonawcy na co najmniej 3 lata, projektowanie i montaż przez osoby posiadające uprawnienia.</w:t>
      </w:r>
    </w:p>
    <w:p w:rsidR="00D73B96" w:rsidRPr="00D73B96" w:rsidRDefault="00D73B96" w:rsidP="00A0632E">
      <w:pPr>
        <w:autoSpaceDE w:val="0"/>
        <w:autoSpaceDN w:val="0"/>
        <w:adjustRightInd w:val="0"/>
        <w:spacing w:after="120" w:line="276" w:lineRule="auto"/>
        <w:ind w:left="708"/>
        <w:jc w:val="both"/>
        <w:rPr>
          <w:rFonts w:eastAsia="ArialMT"/>
          <w:sz w:val="20"/>
          <w:szCs w:val="20"/>
        </w:rPr>
      </w:pPr>
      <w:r w:rsidRPr="00D73B96">
        <w:rPr>
          <w:rFonts w:eastAsia="ArialMT"/>
          <w:b/>
          <w:sz w:val="20"/>
          <w:szCs w:val="20"/>
        </w:rPr>
        <w:t>Cel:</w:t>
      </w:r>
      <w:r w:rsidRPr="00D73B96">
        <w:rPr>
          <w:rFonts w:eastAsia="ArialMT"/>
          <w:sz w:val="20"/>
          <w:szCs w:val="20"/>
        </w:rPr>
        <w:t xml:space="preserve"> Celem programu jest osiągnięcie efektu ekologicznego polegającego na ograniczeniu lub uniknięciu emisji CO2 w wyniku zwiększenia produkcji energii ze źródeł odnawialnych przez zakup i montaż małych lub mikroinstalacji odnawialnych źródeł energii.</w:t>
      </w:r>
    </w:p>
    <w:p w:rsidR="00D73B96" w:rsidRPr="00D73B96" w:rsidRDefault="00D73B96" w:rsidP="00A0632E">
      <w:pPr>
        <w:autoSpaceDE w:val="0"/>
        <w:autoSpaceDN w:val="0"/>
        <w:adjustRightInd w:val="0"/>
        <w:spacing w:after="120" w:line="276" w:lineRule="auto"/>
        <w:ind w:firstLine="708"/>
        <w:jc w:val="both"/>
        <w:rPr>
          <w:rFonts w:eastAsia="ArialMT"/>
          <w:sz w:val="20"/>
          <w:szCs w:val="20"/>
        </w:rPr>
      </w:pPr>
      <w:r w:rsidRPr="00D73B96">
        <w:rPr>
          <w:rFonts w:eastAsia="ArialMT"/>
          <w:b/>
          <w:sz w:val="20"/>
          <w:szCs w:val="20"/>
        </w:rPr>
        <w:t xml:space="preserve">Budżet </w:t>
      </w:r>
      <w:r w:rsidRPr="00D73B96">
        <w:rPr>
          <w:rFonts w:eastAsia="ArialMT"/>
          <w:sz w:val="20"/>
          <w:szCs w:val="20"/>
        </w:rPr>
        <w:t>: Budżet programu wynosi 800 000 tys. zł.</w:t>
      </w:r>
    </w:p>
    <w:p w:rsidR="00D73B96" w:rsidRPr="00D73B96" w:rsidRDefault="00D73B96" w:rsidP="00A0632E">
      <w:pPr>
        <w:autoSpaceDE w:val="0"/>
        <w:autoSpaceDN w:val="0"/>
        <w:adjustRightInd w:val="0"/>
        <w:spacing w:after="120" w:line="276" w:lineRule="auto"/>
        <w:ind w:firstLine="708"/>
        <w:jc w:val="both"/>
        <w:rPr>
          <w:rFonts w:eastAsia="ArialMT"/>
          <w:sz w:val="20"/>
          <w:szCs w:val="20"/>
        </w:rPr>
      </w:pPr>
      <w:r w:rsidRPr="00D73B96">
        <w:rPr>
          <w:rFonts w:eastAsia="ArialMT"/>
          <w:b/>
          <w:sz w:val="20"/>
          <w:szCs w:val="20"/>
        </w:rPr>
        <w:t>Czas:</w:t>
      </w:r>
      <w:r w:rsidRPr="00D73B96">
        <w:rPr>
          <w:rFonts w:eastAsia="ArialMT"/>
          <w:sz w:val="20"/>
          <w:szCs w:val="20"/>
        </w:rPr>
        <w:t xml:space="preserve"> Lata 2014-2022 z możliwością zawierania umów kredytu do 2020 r.</w:t>
      </w:r>
    </w:p>
    <w:p w:rsidR="00D73B96" w:rsidRPr="00D73B96" w:rsidRDefault="00D73B96" w:rsidP="00A0632E">
      <w:pPr>
        <w:autoSpaceDE w:val="0"/>
        <w:autoSpaceDN w:val="0"/>
        <w:adjustRightInd w:val="0"/>
        <w:spacing w:after="120" w:line="276" w:lineRule="auto"/>
        <w:ind w:firstLine="708"/>
        <w:jc w:val="both"/>
        <w:rPr>
          <w:rFonts w:eastAsia="ArialMT"/>
          <w:sz w:val="20"/>
          <w:szCs w:val="20"/>
        </w:rPr>
      </w:pPr>
      <w:r w:rsidRPr="00D73B96">
        <w:rPr>
          <w:rFonts w:eastAsia="ArialMT"/>
          <w:b/>
          <w:sz w:val="20"/>
          <w:szCs w:val="20"/>
        </w:rPr>
        <w:t>Instrumenty:</w:t>
      </w:r>
      <w:r w:rsidRPr="00D73B96">
        <w:rPr>
          <w:rFonts w:eastAsia="ArialMT"/>
          <w:sz w:val="20"/>
          <w:szCs w:val="20"/>
        </w:rPr>
        <w:t xml:space="preserve"> Kredyt z dotacją łącznie do 100% kosztów kwalifikowanych, w tym:</w:t>
      </w:r>
    </w:p>
    <w:p w:rsidR="00D73B96" w:rsidRPr="00D73B96" w:rsidRDefault="00D73B96" w:rsidP="00303BB2">
      <w:pPr>
        <w:pStyle w:val="Akapitzlist"/>
        <w:numPr>
          <w:ilvl w:val="0"/>
          <w:numId w:val="9"/>
        </w:numPr>
        <w:autoSpaceDE w:val="0"/>
        <w:autoSpaceDN w:val="0"/>
        <w:adjustRightInd w:val="0"/>
        <w:spacing w:after="120" w:line="276" w:lineRule="auto"/>
        <w:jc w:val="both"/>
        <w:rPr>
          <w:rFonts w:eastAsia="ArialMT"/>
          <w:sz w:val="20"/>
          <w:szCs w:val="20"/>
        </w:rPr>
      </w:pPr>
      <w:r w:rsidRPr="00D73B96">
        <w:rPr>
          <w:rFonts w:eastAsia="ArialMT"/>
          <w:sz w:val="20"/>
          <w:szCs w:val="20"/>
        </w:rPr>
        <w:t>dotacja 20-40% kwoty dofinansowania (15 lub 30% po 2015 r.);</w:t>
      </w:r>
    </w:p>
    <w:p w:rsidR="00D73B96" w:rsidRPr="00D73B96" w:rsidRDefault="00D73B96" w:rsidP="00303BB2">
      <w:pPr>
        <w:pStyle w:val="Akapitzlist"/>
        <w:numPr>
          <w:ilvl w:val="0"/>
          <w:numId w:val="9"/>
        </w:numPr>
        <w:autoSpaceDE w:val="0"/>
        <w:autoSpaceDN w:val="0"/>
        <w:adjustRightInd w:val="0"/>
        <w:spacing w:after="120" w:line="276" w:lineRule="auto"/>
        <w:jc w:val="both"/>
        <w:rPr>
          <w:rFonts w:eastAsia="ArialMT"/>
          <w:sz w:val="20"/>
          <w:szCs w:val="20"/>
        </w:rPr>
      </w:pPr>
      <w:r w:rsidRPr="00D73B96">
        <w:rPr>
          <w:rFonts w:eastAsia="ArialMT"/>
          <w:sz w:val="20"/>
          <w:szCs w:val="20"/>
        </w:rPr>
        <w:t>pożyczka o oprocentowaniu w skali roku – 1% (okres finansowania pożyczką/kredytem do 15 lat).</w:t>
      </w:r>
    </w:p>
    <w:p w:rsidR="00D73B96" w:rsidRPr="00D73B96" w:rsidRDefault="00D73B96" w:rsidP="00A0632E">
      <w:pPr>
        <w:autoSpaceDE w:val="0"/>
        <w:autoSpaceDN w:val="0"/>
        <w:adjustRightInd w:val="0"/>
        <w:spacing w:after="120" w:line="276" w:lineRule="auto"/>
        <w:ind w:left="708"/>
        <w:jc w:val="both"/>
        <w:rPr>
          <w:rFonts w:eastAsia="ArialMT"/>
          <w:sz w:val="20"/>
          <w:szCs w:val="20"/>
        </w:rPr>
      </w:pPr>
      <w:r w:rsidRPr="00D73B96">
        <w:rPr>
          <w:rFonts w:eastAsia="Arial-BoldMT"/>
          <w:b/>
          <w:bCs/>
          <w:sz w:val="20"/>
          <w:szCs w:val="20"/>
        </w:rPr>
        <w:t>Beneficjenci :</w:t>
      </w:r>
      <w:r w:rsidRPr="00D73B96">
        <w:rPr>
          <w:rFonts w:eastAsia="ArialMT"/>
          <w:sz w:val="20"/>
          <w:szCs w:val="20"/>
        </w:rPr>
        <w:t xml:space="preserve"> osoby fizyczne posiadające prawo do dysponowania budynkiem mieszkalnym;</w:t>
      </w:r>
    </w:p>
    <w:p w:rsidR="00D73B96" w:rsidRPr="00D73B96" w:rsidRDefault="00D73B96" w:rsidP="00303BB2">
      <w:pPr>
        <w:pStyle w:val="Akapitzlist"/>
        <w:numPr>
          <w:ilvl w:val="0"/>
          <w:numId w:val="10"/>
        </w:numPr>
        <w:autoSpaceDE w:val="0"/>
        <w:autoSpaceDN w:val="0"/>
        <w:adjustRightInd w:val="0"/>
        <w:spacing w:after="120" w:line="276" w:lineRule="auto"/>
        <w:jc w:val="both"/>
        <w:rPr>
          <w:rFonts w:eastAsia="ArialMT"/>
          <w:sz w:val="20"/>
          <w:szCs w:val="20"/>
        </w:rPr>
      </w:pPr>
      <w:r w:rsidRPr="00D73B96">
        <w:rPr>
          <w:rFonts w:eastAsia="ArialMT"/>
          <w:sz w:val="20"/>
          <w:szCs w:val="20"/>
        </w:rPr>
        <w:t>wspólnoty i spółdzielnie mieszkaniowe;</w:t>
      </w:r>
    </w:p>
    <w:p w:rsidR="00D73B96" w:rsidRPr="00D73B96" w:rsidRDefault="00D73B96" w:rsidP="00303BB2">
      <w:pPr>
        <w:pStyle w:val="Akapitzlist"/>
        <w:numPr>
          <w:ilvl w:val="0"/>
          <w:numId w:val="10"/>
        </w:numPr>
        <w:autoSpaceDE w:val="0"/>
        <w:autoSpaceDN w:val="0"/>
        <w:adjustRightInd w:val="0"/>
        <w:spacing w:after="120" w:line="276" w:lineRule="auto"/>
        <w:jc w:val="both"/>
        <w:rPr>
          <w:rFonts w:eastAsia="ArialMT"/>
          <w:sz w:val="20"/>
          <w:szCs w:val="20"/>
        </w:rPr>
      </w:pPr>
      <w:r w:rsidRPr="00D73B96">
        <w:rPr>
          <w:rFonts w:eastAsia="ArialMT"/>
          <w:sz w:val="20"/>
          <w:szCs w:val="20"/>
        </w:rPr>
        <w:t>jednostki samorządu terytorialnego i ich związki.</w:t>
      </w:r>
    </w:p>
    <w:p w:rsidR="00D73B96" w:rsidRPr="00A0632E" w:rsidRDefault="00D73B96" w:rsidP="00303BB2">
      <w:pPr>
        <w:pStyle w:val="Akapitzlist"/>
        <w:numPr>
          <w:ilvl w:val="0"/>
          <w:numId w:val="2"/>
        </w:numPr>
        <w:autoSpaceDE w:val="0"/>
        <w:autoSpaceDN w:val="0"/>
        <w:adjustRightInd w:val="0"/>
        <w:spacing w:after="120" w:line="276" w:lineRule="auto"/>
        <w:jc w:val="both"/>
        <w:rPr>
          <w:rFonts w:eastAsia="ArialMT"/>
          <w:sz w:val="20"/>
          <w:szCs w:val="20"/>
        </w:rPr>
      </w:pPr>
      <w:r w:rsidRPr="00A0632E">
        <w:rPr>
          <w:rFonts w:eastAsia="Arial-BoldMT"/>
          <w:b/>
          <w:bCs/>
          <w:sz w:val="20"/>
          <w:szCs w:val="20"/>
        </w:rPr>
        <w:t xml:space="preserve">System zielonych inwestycji (GIS – Green Investment </w:t>
      </w:r>
      <w:proofErr w:type="spellStart"/>
      <w:r w:rsidRPr="00A0632E">
        <w:rPr>
          <w:rFonts w:eastAsia="Arial-BoldMT"/>
          <w:b/>
          <w:bCs/>
          <w:sz w:val="20"/>
          <w:szCs w:val="20"/>
        </w:rPr>
        <w:t>Scheme</w:t>
      </w:r>
      <w:proofErr w:type="spellEnd"/>
      <w:r w:rsidRPr="00A0632E">
        <w:rPr>
          <w:rFonts w:eastAsia="Arial-BoldMT"/>
          <w:b/>
          <w:bCs/>
          <w:sz w:val="20"/>
          <w:szCs w:val="20"/>
        </w:rPr>
        <w:t xml:space="preserve">) </w:t>
      </w:r>
      <w:r w:rsidRPr="00A0632E">
        <w:rPr>
          <w:rFonts w:eastAsia="ArialMT"/>
          <w:sz w:val="20"/>
          <w:szCs w:val="20"/>
        </w:rPr>
        <w:t>jest pochodną mechanizmu handlu uprawnieniami do emisji. Idea i cel GIS sprowadzają się do stworzenia i wzmacniania proekologicznego efektu wynikającego ze zbywania nadwyżek jednostek AAU (jednostki przyznanych emisji).</w:t>
      </w:r>
    </w:p>
    <w:p w:rsidR="00D73B96" w:rsidRPr="00D73B96" w:rsidRDefault="00D73B96" w:rsidP="00A0632E">
      <w:pPr>
        <w:autoSpaceDE w:val="0"/>
        <w:autoSpaceDN w:val="0"/>
        <w:adjustRightInd w:val="0"/>
        <w:spacing w:after="120" w:line="276" w:lineRule="auto"/>
        <w:ind w:left="708"/>
        <w:jc w:val="both"/>
        <w:rPr>
          <w:rFonts w:eastAsia="ArialMT"/>
          <w:sz w:val="20"/>
          <w:szCs w:val="20"/>
        </w:rPr>
      </w:pPr>
      <w:r w:rsidRPr="00D73B96">
        <w:rPr>
          <w:rFonts w:eastAsia="ArialMT"/>
          <w:sz w:val="20"/>
          <w:szCs w:val="20"/>
        </w:rPr>
        <w:lastRenderedPageBreak/>
        <w:t>Dzięki uzyskaniu dofinansowania z tego programu, możliwe jest zmniejszenie zużycia energii w budynkach użytkowanych. Działania obejmują m.in. termomodernizację budynków użyteczności publicznej, a w szczególności ocieplenie obiektu, wymianę okien, wymianę drzwi zewnętrznych, przebudowę systemów grzewczych, wymianę systemów wentylacji i klimatyzacji, przygotowanie dokumentacji projektowej dla przedsięwzięcia, zastosowanie systemów zarządzania energią w budynkach, wykorzystanie technologii odnawialnych źródeł energii, czy wymianę oświetlenia wewnętrznego na energooszczędne (dodatkowe zadanie realizowane równolegle z termomodernizacją obiektów). W ramach programu mogą być realizowane projekty grupowe.</w:t>
      </w:r>
    </w:p>
    <w:p w:rsidR="00D73B96" w:rsidRPr="00D73B96" w:rsidRDefault="00D73B96" w:rsidP="00A0632E">
      <w:pPr>
        <w:autoSpaceDE w:val="0"/>
        <w:autoSpaceDN w:val="0"/>
        <w:adjustRightInd w:val="0"/>
        <w:spacing w:after="120" w:line="276" w:lineRule="auto"/>
        <w:ind w:left="708"/>
        <w:jc w:val="both"/>
        <w:rPr>
          <w:rFonts w:eastAsia="ArialMT"/>
          <w:sz w:val="20"/>
          <w:szCs w:val="20"/>
        </w:rPr>
      </w:pPr>
      <w:r w:rsidRPr="00D73B96">
        <w:rPr>
          <w:rFonts w:eastAsia="ArialMT"/>
          <w:b/>
          <w:sz w:val="20"/>
          <w:szCs w:val="20"/>
        </w:rPr>
        <w:t>Cel:</w:t>
      </w:r>
      <w:r w:rsidRPr="00D73B96">
        <w:rPr>
          <w:rFonts w:eastAsia="ArialMT"/>
          <w:sz w:val="20"/>
          <w:szCs w:val="20"/>
        </w:rPr>
        <w:t xml:space="preserve"> Ograniczenie lub uniknięcie emisji dwutlenku węgla poprzez dofinansowanie przedsięwzięć poprawiających efektywność wykorzystania energii przez budynki użyteczności publicznej</w:t>
      </w:r>
    </w:p>
    <w:p w:rsidR="00D73B96" w:rsidRPr="00D73B96" w:rsidRDefault="00D73B96" w:rsidP="00A0632E">
      <w:pPr>
        <w:autoSpaceDE w:val="0"/>
        <w:autoSpaceDN w:val="0"/>
        <w:adjustRightInd w:val="0"/>
        <w:spacing w:after="120" w:line="276" w:lineRule="auto"/>
        <w:ind w:left="708"/>
        <w:jc w:val="both"/>
        <w:rPr>
          <w:rFonts w:eastAsia="ArialMT"/>
          <w:b/>
          <w:sz w:val="20"/>
          <w:szCs w:val="20"/>
        </w:rPr>
      </w:pPr>
      <w:r w:rsidRPr="00D73B96">
        <w:rPr>
          <w:rFonts w:eastAsia="ArialMT"/>
          <w:b/>
          <w:sz w:val="20"/>
          <w:szCs w:val="20"/>
        </w:rPr>
        <w:t xml:space="preserve">Budżet </w:t>
      </w:r>
      <w:r w:rsidRPr="00D73B96">
        <w:rPr>
          <w:rFonts w:eastAsia="ArialMT"/>
          <w:sz w:val="20"/>
          <w:szCs w:val="20"/>
        </w:rPr>
        <w:t>: Planowane zobowiązania dla bezzwrotnych form dofinansowania wynoszą 298 329 tys. zł - ze środków pochodzących z transakcji sprzedaży jednostek przyznanej emisji (dotacji z GIS) lub innych środków NFOŚiGW</w:t>
      </w:r>
    </w:p>
    <w:p w:rsidR="00D73B96" w:rsidRPr="00D73B96" w:rsidRDefault="00D73B96" w:rsidP="00A0632E">
      <w:pPr>
        <w:autoSpaceDE w:val="0"/>
        <w:autoSpaceDN w:val="0"/>
        <w:adjustRightInd w:val="0"/>
        <w:spacing w:after="120" w:line="276" w:lineRule="auto"/>
        <w:ind w:firstLine="708"/>
        <w:jc w:val="both"/>
        <w:rPr>
          <w:rFonts w:eastAsia="ArialMT"/>
          <w:sz w:val="20"/>
          <w:szCs w:val="20"/>
        </w:rPr>
      </w:pPr>
      <w:r w:rsidRPr="00D73B96">
        <w:rPr>
          <w:rFonts w:eastAsia="ArialMT"/>
          <w:b/>
          <w:sz w:val="20"/>
          <w:szCs w:val="20"/>
        </w:rPr>
        <w:t>Czas</w:t>
      </w:r>
      <w:r w:rsidRPr="00D73B96">
        <w:rPr>
          <w:rFonts w:eastAsia="ArialMT"/>
          <w:sz w:val="20"/>
          <w:szCs w:val="20"/>
        </w:rPr>
        <w:t xml:space="preserve"> Program jest wdrażany w latach 2010 – 2017.</w:t>
      </w:r>
    </w:p>
    <w:p w:rsidR="00D73B96" w:rsidRPr="00D73B96" w:rsidRDefault="00D73B96" w:rsidP="00A0632E">
      <w:pPr>
        <w:autoSpaceDE w:val="0"/>
        <w:autoSpaceDN w:val="0"/>
        <w:adjustRightInd w:val="0"/>
        <w:spacing w:after="120" w:line="276" w:lineRule="auto"/>
        <w:ind w:firstLine="708"/>
        <w:jc w:val="both"/>
        <w:rPr>
          <w:rFonts w:eastAsia="ArialMT"/>
          <w:sz w:val="20"/>
          <w:szCs w:val="20"/>
        </w:rPr>
      </w:pPr>
      <w:r w:rsidRPr="00D73B96">
        <w:rPr>
          <w:rFonts w:eastAsia="ArialMT"/>
          <w:b/>
          <w:sz w:val="20"/>
          <w:szCs w:val="20"/>
        </w:rPr>
        <w:t>Instrumenty:</w:t>
      </w:r>
      <w:r w:rsidRPr="00D73B96">
        <w:rPr>
          <w:rFonts w:eastAsia="ArialMT"/>
          <w:sz w:val="20"/>
          <w:szCs w:val="20"/>
        </w:rPr>
        <w:t xml:space="preserve"> dotacja lub pożyczka.</w:t>
      </w:r>
    </w:p>
    <w:p w:rsidR="00D73B96" w:rsidRPr="00D73B96" w:rsidRDefault="00D73B96" w:rsidP="00A0632E">
      <w:pPr>
        <w:autoSpaceDE w:val="0"/>
        <w:autoSpaceDN w:val="0"/>
        <w:adjustRightInd w:val="0"/>
        <w:spacing w:after="120" w:line="276" w:lineRule="auto"/>
        <w:ind w:firstLine="360"/>
        <w:jc w:val="both"/>
        <w:rPr>
          <w:rFonts w:eastAsia="ArialMT"/>
          <w:sz w:val="20"/>
          <w:szCs w:val="20"/>
        </w:rPr>
      </w:pPr>
      <w:r w:rsidRPr="00D73B96">
        <w:rPr>
          <w:rFonts w:eastAsia="Arial-BoldMT"/>
          <w:b/>
          <w:bCs/>
          <w:sz w:val="20"/>
          <w:szCs w:val="20"/>
        </w:rPr>
        <w:t>Beneficjenci :</w:t>
      </w:r>
      <w:r w:rsidRPr="00D73B96">
        <w:rPr>
          <w:rFonts w:eastAsia="ArialMT"/>
          <w:sz w:val="20"/>
          <w:szCs w:val="20"/>
        </w:rPr>
        <w:t xml:space="preserve"> </w:t>
      </w:r>
    </w:p>
    <w:p w:rsidR="00D73B96" w:rsidRPr="00A0632E" w:rsidRDefault="00D73B96" w:rsidP="00303BB2">
      <w:pPr>
        <w:pStyle w:val="Akapitzlist"/>
        <w:numPr>
          <w:ilvl w:val="0"/>
          <w:numId w:val="5"/>
        </w:numPr>
        <w:autoSpaceDE w:val="0"/>
        <w:autoSpaceDN w:val="0"/>
        <w:adjustRightInd w:val="0"/>
        <w:spacing w:after="120" w:line="276" w:lineRule="auto"/>
        <w:jc w:val="both"/>
        <w:rPr>
          <w:rFonts w:eastAsia="ArialMT"/>
          <w:color w:val="000000"/>
          <w:sz w:val="20"/>
          <w:szCs w:val="20"/>
        </w:rPr>
      </w:pPr>
      <w:r w:rsidRPr="00A0632E">
        <w:rPr>
          <w:rFonts w:eastAsia="ArialMT"/>
          <w:color w:val="000000"/>
          <w:sz w:val="20"/>
          <w:szCs w:val="20"/>
        </w:rPr>
        <w:t>jednostki samorządu terytorialnego oraz ich związki;</w:t>
      </w:r>
    </w:p>
    <w:p w:rsidR="00D73B96" w:rsidRPr="00A0632E" w:rsidRDefault="00D73B96" w:rsidP="00303BB2">
      <w:pPr>
        <w:pStyle w:val="Akapitzlist"/>
        <w:numPr>
          <w:ilvl w:val="0"/>
          <w:numId w:val="5"/>
        </w:numPr>
        <w:autoSpaceDE w:val="0"/>
        <w:autoSpaceDN w:val="0"/>
        <w:adjustRightInd w:val="0"/>
        <w:spacing w:after="120" w:line="276" w:lineRule="auto"/>
        <w:jc w:val="both"/>
        <w:rPr>
          <w:rFonts w:eastAsia="ArialMT"/>
          <w:color w:val="000000"/>
          <w:sz w:val="20"/>
          <w:szCs w:val="20"/>
        </w:rPr>
      </w:pPr>
      <w:r w:rsidRPr="00A0632E">
        <w:rPr>
          <w:rFonts w:eastAsia="ArialMT"/>
          <w:color w:val="000000"/>
          <w:sz w:val="20"/>
          <w:szCs w:val="20"/>
        </w:rPr>
        <w:t>podmioty świadczące usługi publiczne w ramach realizacji zadań własnych jednostek samorządu terytorialnego niebędące przedsiębiorcami;</w:t>
      </w:r>
    </w:p>
    <w:p w:rsidR="00D73B96" w:rsidRPr="00A0632E" w:rsidRDefault="00D73B96" w:rsidP="00303BB2">
      <w:pPr>
        <w:pStyle w:val="Akapitzlist"/>
        <w:numPr>
          <w:ilvl w:val="0"/>
          <w:numId w:val="5"/>
        </w:numPr>
        <w:autoSpaceDE w:val="0"/>
        <w:autoSpaceDN w:val="0"/>
        <w:adjustRightInd w:val="0"/>
        <w:spacing w:after="120" w:line="276" w:lineRule="auto"/>
        <w:jc w:val="both"/>
        <w:rPr>
          <w:rFonts w:eastAsia="ArialMT"/>
          <w:color w:val="000000"/>
          <w:sz w:val="20"/>
          <w:szCs w:val="20"/>
        </w:rPr>
      </w:pPr>
      <w:r w:rsidRPr="00A0632E">
        <w:rPr>
          <w:rFonts w:eastAsia="ArialMT"/>
          <w:color w:val="000000"/>
          <w:sz w:val="20"/>
          <w:szCs w:val="20"/>
        </w:rPr>
        <w:t>Ochotnicza Straż Pożarna;</w:t>
      </w:r>
    </w:p>
    <w:p w:rsidR="00D73B96" w:rsidRPr="00A0632E" w:rsidRDefault="00D73B96" w:rsidP="00303BB2">
      <w:pPr>
        <w:pStyle w:val="Akapitzlist"/>
        <w:numPr>
          <w:ilvl w:val="0"/>
          <w:numId w:val="5"/>
        </w:numPr>
        <w:autoSpaceDE w:val="0"/>
        <w:autoSpaceDN w:val="0"/>
        <w:adjustRightInd w:val="0"/>
        <w:spacing w:after="120" w:line="276" w:lineRule="auto"/>
        <w:jc w:val="both"/>
        <w:rPr>
          <w:rFonts w:eastAsia="ArialMT"/>
          <w:color w:val="000000"/>
          <w:sz w:val="20"/>
          <w:szCs w:val="20"/>
        </w:rPr>
      </w:pPr>
      <w:r w:rsidRPr="00A0632E">
        <w:rPr>
          <w:rFonts w:eastAsia="ArialMT"/>
          <w:color w:val="000000"/>
          <w:sz w:val="20"/>
          <w:szCs w:val="20"/>
        </w:rPr>
        <w:t>uczelnie w rozumieniu ustawy z dnia 27 lipca 2005 r. – Prawo o szkolnictwie wyższym (Dz. U. z 2012 r. poz. 572, z nóź. zm.) oraz instytuty badawcze;</w:t>
      </w:r>
    </w:p>
    <w:p w:rsidR="00D73B96" w:rsidRPr="00A0632E" w:rsidRDefault="00D73B96" w:rsidP="00303BB2">
      <w:pPr>
        <w:pStyle w:val="Akapitzlist"/>
        <w:numPr>
          <w:ilvl w:val="0"/>
          <w:numId w:val="5"/>
        </w:numPr>
        <w:autoSpaceDE w:val="0"/>
        <w:autoSpaceDN w:val="0"/>
        <w:adjustRightInd w:val="0"/>
        <w:spacing w:after="120" w:line="276" w:lineRule="auto"/>
        <w:jc w:val="both"/>
        <w:rPr>
          <w:rFonts w:eastAsia="ArialMT"/>
          <w:color w:val="000000"/>
          <w:sz w:val="20"/>
          <w:szCs w:val="20"/>
        </w:rPr>
      </w:pPr>
      <w:r w:rsidRPr="00A0632E">
        <w:rPr>
          <w:rFonts w:eastAsia="ArialMT"/>
          <w:color w:val="000000"/>
          <w:sz w:val="20"/>
          <w:szCs w:val="20"/>
        </w:rPr>
        <w:t>samodzielne publiczne zakłady opieki zdrowotnej oraz podmioty lecznicze prowadzące przedsiębiorstwo w rozumieniu art. 551 Kodeksu cywilnego w zakresie udzielania świadczeń zdrowotnych;</w:t>
      </w:r>
    </w:p>
    <w:p w:rsidR="00D73B96" w:rsidRPr="00A0632E" w:rsidRDefault="00D73B96" w:rsidP="00303BB2">
      <w:pPr>
        <w:pStyle w:val="Akapitzlist"/>
        <w:numPr>
          <w:ilvl w:val="0"/>
          <w:numId w:val="5"/>
        </w:numPr>
        <w:autoSpaceDE w:val="0"/>
        <w:autoSpaceDN w:val="0"/>
        <w:adjustRightInd w:val="0"/>
        <w:spacing w:after="120" w:line="276" w:lineRule="auto"/>
        <w:jc w:val="both"/>
        <w:rPr>
          <w:rFonts w:eastAsia="ArialMT"/>
          <w:color w:val="000000"/>
          <w:sz w:val="20"/>
          <w:szCs w:val="20"/>
        </w:rPr>
      </w:pPr>
      <w:r w:rsidRPr="00A0632E">
        <w:rPr>
          <w:rFonts w:eastAsia="ArialMT"/>
          <w:color w:val="000000"/>
          <w:sz w:val="20"/>
          <w:szCs w:val="20"/>
        </w:rPr>
        <w:t>organizacje pozarządowe, Kościoły i inne związki wyznaniowe wpisane do rejestru kościołów i innych związków wyznaniowych oraz kościelne osoby prawne.</w:t>
      </w:r>
    </w:p>
    <w:p w:rsidR="00657899" w:rsidRDefault="00657899" w:rsidP="00657899">
      <w:pPr>
        <w:pStyle w:val="Akapitzlist"/>
        <w:autoSpaceDE w:val="0"/>
        <w:autoSpaceDN w:val="0"/>
        <w:adjustRightInd w:val="0"/>
        <w:spacing w:after="120" w:line="276" w:lineRule="auto"/>
        <w:jc w:val="both"/>
        <w:rPr>
          <w:rFonts w:eastAsia="Arial-BoldMT"/>
          <w:b/>
          <w:bCs/>
          <w:color w:val="000000" w:themeColor="text1"/>
          <w:sz w:val="20"/>
          <w:szCs w:val="20"/>
        </w:rPr>
      </w:pPr>
    </w:p>
    <w:p w:rsidR="00D73B96" w:rsidRDefault="00D73B96" w:rsidP="00303BB2">
      <w:pPr>
        <w:pStyle w:val="Akapitzlist"/>
        <w:numPr>
          <w:ilvl w:val="0"/>
          <w:numId w:val="2"/>
        </w:numPr>
        <w:autoSpaceDE w:val="0"/>
        <w:autoSpaceDN w:val="0"/>
        <w:adjustRightInd w:val="0"/>
        <w:spacing w:after="120" w:line="276" w:lineRule="auto"/>
        <w:jc w:val="both"/>
        <w:rPr>
          <w:rFonts w:eastAsia="Arial-BoldMT"/>
          <w:b/>
          <w:bCs/>
          <w:color w:val="000000" w:themeColor="text1"/>
          <w:sz w:val="20"/>
          <w:szCs w:val="20"/>
        </w:rPr>
      </w:pPr>
      <w:r w:rsidRPr="00D43CC3">
        <w:rPr>
          <w:rFonts w:eastAsia="Arial-BoldMT"/>
          <w:b/>
          <w:bCs/>
          <w:color w:val="000000" w:themeColor="text1"/>
          <w:sz w:val="20"/>
          <w:szCs w:val="20"/>
        </w:rPr>
        <w:t>Program Operacyjny Infrastruktura i Środowisko</w:t>
      </w:r>
      <w:r w:rsidR="007C6B3C">
        <w:rPr>
          <w:rFonts w:eastAsia="Arial-BoldMT"/>
          <w:b/>
          <w:bCs/>
          <w:color w:val="000000" w:themeColor="text1"/>
          <w:sz w:val="20"/>
          <w:szCs w:val="20"/>
        </w:rPr>
        <w:t xml:space="preserve"> </w:t>
      </w:r>
      <w:r w:rsidR="007C6B3C" w:rsidRPr="007C6B3C">
        <w:rPr>
          <w:rFonts w:eastAsia="Arial-BoldMT"/>
          <w:b/>
          <w:bCs/>
          <w:color w:val="000000" w:themeColor="text1"/>
          <w:sz w:val="20"/>
          <w:szCs w:val="20"/>
        </w:rPr>
        <w:t xml:space="preserve">- </w:t>
      </w:r>
      <w:proofErr w:type="spellStart"/>
      <w:r w:rsidR="007C6B3C" w:rsidRPr="007C6B3C">
        <w:rPr>
          <w:rStyle w:val="Pogrubienie"/>
          <w:color w:val="000000"/>
          <w:sz w:val="20"/>
          <w:szCs w:val="20"/>
          <w:bdr w:val="none" w:sz="0" w:space="0" w:color="auto" w:frame="1"/>
        </w:rPr>
        <w:t>POIiŚ</w:t>
      </w:r>
      <w:proofErr w:type="spellEnd"/>
      <w:r w:rsidR="007C6B3C" w:rsidRPr="007C6B3C">
        <w:rPr>
          <w:rStyle w:val="Pogrubienie"/>
          <w:color w:val="000000"/>
          <w:sz w:val="20"/>
          <w:szCs w:val="20"/>
          <w:bdr w:val="none" w:sz="0" w:space="0" w:color="auto" w:frame="1"/>
        </w:rPr>
        <w:t xml:space="preserve"> 2014-2020</w:t>
      </w:r>
    </w:p>
    <w:p w:rsidR="007C6B3C" w:rsidRPr="007C6B3C" w:rsidRDefault="007C6B3C" w:rsidP="007C6B3C">
      <w:pPr>
        <w:pStyle w:val="Akapitzlist"/>
        <w:spacing w:after="120" w:line="276" w:lineRule="auto"/>
        <w:jc w:val="both"/>
        <w:textAlignment w:val="baseline"/>
        <w:rPr>
          <w:color w:val="000000"/>
          <w:sz w:val="20"/>
          <w:szCs w:val="20"/>
        </w:rPr>
      </w:pPr>
      <w:r w:rsidRPr="007C6B3C">
        <w:rPr>
          <w:color w:val="000000"/>
          <w:sz w:val="20"/>
          <w:szCs w:val="20"/>
        </w:rPr>
        <w:t>W realizację nowego Programu Infrastruktura i Środowisko na lata 2014-2020 będzie zaangażowanych pięć instytucji (Instytucje Pośredniczące):</w:t>
      </w:r>
    </w:p>
    <w:p w:rsidR="007C6B3C" w:rsidRPr="007C6B3C" w:rsidRDefault="007C6B3C" w:rsidP="00303BB2">
      <w:pPr>
        <w:pStyle w:val="Akapitzlist"/>
        <w:numPr>
          <w:ilvl w:val="1"/>
          <w:numId w:val="19"/>
        </w:numPr>
        <w:spacing w:after="120" w:line="276" w:lineRule="auto"/>
        <w:jc w:val="both"/>
        <w:textAlignment w:val="baseline"/>
        <w:rPr>
          <w:color w:val="000000"/>
          <w:sz w:val="20"/>
          <w:szCs w:val="20"/>
        </w:rPr>
      </w:pPr>
      <w:r w:rsidRPr="007C6B3C">
        <w:rPr>
          <w:b/>
          <w:bCs/>
          <w:color w:val="000000"/>
          <w:sz w:val="20"/>
          <w:szCs w:val="20"/>
          <w:bdr w:val="none" w:sz="0" w:space="0" w:color="auto" w:frame="1"/>
        </w:rPr>
        <w:t>Ministerstwem Gospodarki </w:t>
      </w:r>
      <w:r w:rsidRPr="007C6B3C">
        <w:rPr>
          <w:color w:val="000000"/>
          <w:sz w:val="20"/>
          <w:szCs w:val="20"/>
          <w:bdr w:val="none" w:sz="0" w:space="0" w:color="auto" w:frame="1"/>
        </w:rPr>
        <w:t>– odpowiedzialnym za priorytety: </w:t>
      </w:r>
      <w:r w:rsidRPr="007C6B3C">
        <w:rPr>
          <w:i/>
          <w:iCs/>
          <w:color w:val="000000"/>
          <w:sz w:val="20"/>
          <w:szCs w:val="20"/>
          <w:bdr w:val="none" w:sz="0" w:space="0" w:color="auto" w:frame="1"/>
        </w:rPr>
        <w:t>Zmniejszenie emisyjności gospodarki </w:t>
      </w:r>
      <w:r w:rsidRPr="007C6B3C">
        <w:rPr>
          <w:color w:val="000000"/>
          <w:sz w:val="20"/>
          <w:szCs w:val="20"/>
          <w:bdr w:val="none" w:sz="0" w:space="0" w:color="auto" w:frame="1"/>
        </w:rPr>
        <w:t>oraz </w:t>
      </w:r>
      <w:r w:rsidRPr="007C6B3C">
        <w:rPr>
          <w:i/>
          <w:iCs/>
          <w:color w:val="000000"/>
          <w:sz w:val="20"/>
          <w:szCs w:val="20"/>
          <w:bdr w:val="none" w:sz="0" w:space="0" w:color="auto" w:frame="1"/>
        </w:rPr>
        <w:t>Poprawa bezpieczeństwa energetycznego,</w:t>
      </w:r>
    </w:p>
    <w:p w:rsidR="007C6B3C" w:rsidRPr="007C6B3C" w:rsidRDefault="007C6B3C" w:rsidP="00303BB2">
      <w:pPr>
        <w:pStyle w:val="Akapitzlist"/>
        <w:numPr>
          <w:ilvl w:val="1"/>
          <w:numId w:val="19"/>
        </w:numPr>
        <w:spacing w:after="120" w:line="276" w:lineRule="auto"/>
        <w:jc w:val="both"/>
        <w:textAlignment w:val="baseline"/>
        <w:rPr>
          <w:color w:val="000000"/>
          <w:sz w:val="20"/>
          <w:szCs w:val="20"/>
        </w:rPr>
      </w:pPr>
      <w:r w:rsidRPr="007C6B3C">
        <w:rPr>
          <w:b/>
          <w:bCs/>
          <w:color w:val="000000"/>
          <w:sz w:val="20"/>
          <w:szCs w:val="20"/>
          <w:bdr w:val="none" w:sz="0" w:space="0" w:color="auto" w:frame="1"/>
        </w:rPr>
        <w:t>Ministerstwem Środowiska (MŚ) </w:t>
      </w:r>
      <w:r w:rsidRPr="007C6B3C">
        <w:rPr>
          <w:color w:val="000000"/>
          <w:sz w:val="20"/>
          <w:szCs w:val="20"/>
          <w:bdr w:val="none" w:sz="0" w:space="0" w:color="auto" w:frame="1"/>
        </w:rPr>
        <w:t>– odpowiedzialnym za priorytet </w:t>
      </w:r>
      <w:r w:rsidRPr="007C6B3C">
        <w:rPr>
          <w:i/>
          <w:iCs/>
          <w:color w:val="000000"/>
          <w:sz w:val="20"/>
          <w:szCs w:val="20"/>
          <w:bdr w:val="none" w:sz="0" w:space="0" w:color="auto" w:frame="1"/>
        </w:rPr>
        <w:t>Ochrona środowiska, w tym adaptacja do zmian klimatu</w:t>
      </w:r>
      <w:r w:rsidRPr="007C6B3C">
        <w:rPr>
          <w:color w:val="000000"/>
          <w:sz w:val="20"/>
          <w:szCs w:val="20"/>
          <w:bdr w:val="none" w:sz="0" w:space="0" w:color="auto" w:frame="1"/>
        </w:rPr>
        <w:t>,</w:t>
      </w:r>
    </w:p>
    <w:p w:rsidR="007C6B3C" w:rsidRPr="007C6B3C" w:rsidRDefault="007C6B3C" w:rsidP="00303BB2">
      <w:pPr>
        <w:pStyle w:val="Akapitzlist"/>
        <w:numPr>
          <w:ilvl w:val="1"/>
          <w:numId w:val="19"/>
        </w:numPr>
        <w:spacing w:after="120" w:line="276" w:lineRule="auto"/>
        <w:jc w:val="both"/>
        <w:textAlignment w:val="baseline"/>
        <w:rPr>
          <w:color w:val="000000"/>
          <w:sz w:val="20"/>
          <w:szCs w:val="20"/>
        </w:rPr>
      </w:pPr>
      <w:r w:rsidRPr="007C6B3C">
        <w:rPr>
          <w:b/>
          <w:bCs/>
          <w:color w:val="000000"/>
          <w:sz w:val="20"/>
          <w:szCs w:val="20"/>
          <w:bdr w:val="none" w:sz="0" w:space="0" w:color="auto" w:frame="1"/>
        </w:rPr>
        <w:lastRenderedPageBreak/>
        <w:t>Ministerstwem Kultury i Dziedzictwa Narodowego </w:t>
      </w:r>
      <w:r w:rsidRPr="007C6B3C">
        <w:rPr>
          <w:color w:val="000000"/>
          <w:sz w:val="20"/>
          <w:szCs w:val="20"/>
          <w:bdr w:val="none" w:sz="0" w:space="0" w:color="auto" w:frame="1"/>
        </w:rPr>
        <w:t>– odpowiedzialnym za priorytet </w:t>
      </w:r>
      <w:r w:rsidRPr="007C6B3C">
        <w:rPr>
          <w:i/>
          <w:iCs/>
          <w:color w:val="000000"/>
          <w:sz w:val="20"/>
          <w:szCs w:val="20"/>
          <w:bdr w:val="none" w:sz="0" w:space="0" w:color="auto" w:frame="1"/>
        </w:rPr>
        <w:t>Ochrona i rozwój dziedzictwa kulturowego,</w:t>
      </w:r>
    </w:p>
    <w:p w:rsidR="007C6B3C" w:rsidRPr="007C6B3C" w:rsidRDefault="007C6B3C" w:rsidP="00303BB2">
      <w:pPr>
        <w:pStyle w:val="Akapitzlist"/>
        <w:numPr>
          <w:ilvl w:val="1"/>
          <w:numId w:val="19"/>
        </w:numPr>
        <w:spacing w:after="120" w:line="276" w:lineRule="auto"/>
        <w:jc w:val="both"/>
        <w:textAlignment w:val="baseline"/>
        <w:rPr>
          <w:color w:val="000000"/>
          <w:sz w:val="20"/>
          <w:szCs w:val="20"/>
        </w:rPr>
      </w:pPr>
      <w:r w:rsidRPr="007C6B3C">
        <w:rPr>
          <w:b/>
          <w:bCs/>
          <w:color w:val="000000"/>
          <w:sz w:val="20"/>
          <w:szCs w:val="20"/>
          <w:bdr w:val="none" w:sz="0" w:space="0" w:color="auto" w:frame="1"/>
        </w:rPr>
        <w:t>Ministerstwem Zdrowia </w:t>
      </w:r>
      <w:r w:rsidRPr="007C6B3C">
        <w:rPr>
          <w:color w:val="000000"/>
          <w:sz w:val="20"/>
          <w:szCs w:val="20"/>
          <w:bdr w:val="none" w:sz="0" w:space="0" w:color="auto" w:frame="1"/>
        </w:rPr>
        <w:t>– odpowiedzialnym za priorytet </w:t>
      </w:r>
      <w:r w:rsidRPr="007C6B3C">
        <w:rPr>
          <w:i/>
          <w:iCs/>
          <w:color w:val="000000"/>
          <w:sz w:val="20"/>
          <w:szCs w:val="20"/>
          <w:bdr w:val="none" w:sz="0" w:space="0" w:color="auto" w:frame="1"/>
        </w:rPr>
        <w:t>Wzmocnienie strategicznej infrastruktury ochrony zdrowia,</w:t>
      </w:r>
    </w:p>
    <w:p w:rsidR="007C6B3C" w:rsidRPr="007C6B3C" w:rsidRDefault="007C6B3C" w:rsidP="00303BB2">
      <w:pPr>
        <w:pStyle w:val="Akapitzlist"/>
        <w:numPr>
          <w:ilvl w:val="1"/>
          <w:numId w:val="19"/>
        </w:numPr>
        <w:spacing w:after="120" w:line="276" w:lineRule="auto"/>
        <w:jc w:val="both"/>
        <w:textAlignment w:val="baseline"/>
        <w:rPr>
          <w:color w:val="000000"/>
          <w:sz w:val="20"/>
          <w:szCs w:val="20"/>
        </w:rPr>
      </w:pPr>
      <w:r w:rsidRPr="007C6B3C">
        <w:rPr>
          <w:b/>
          <w:bCs/>
          <w:color w:val="000000"/>
          <w:sz w:val="20"/>
          <w:szCs w:val="20"/>
          <w:bdr w:val="none" w:sz="0" w:space="0" w:color="auto" w:frame="1"/>
        </w:rPr>
        <w:t>Centrum Unijnych Projektów Transportowych -</w:t>
      </w:r>
      <w:r w:rsidRPr="007C6B3C">
        <w:rPr>
          <w:color w:val="000000"/>
          <w:sz w:val="20"/>
          <w:szCs w:val="20"/>
          <w:bdr w:val="none" w:sz="0" w:space="0" w:color="auto" w:frame="1"/>
        </w:rPr>
        <w:t>odpowiedzialne za priorytety: </w:t>
      </w:r>
      <w:r w:rsidRPr="007C6B3C">
        <w:rPr>
          <w:i/>
          <w:iCs/>
          <w:color w:val="000000"/>
          <w:sz w:val="20"/>
          <w:szCs w:val="20"/>
          <w:bdr w:val="none" w:sz="0" w:space="0" w:color="auto" w:frame="1"/>
        </w:rPr>
        <w:t>Rozwój sieci drogowej TEN-T, Zwiększenie dostępności drogowej ośrodków miejskich i ich odciążenie od ruchu drogowego, Rozwój przyjaznych środowisku gałęzi transportu </w:t>
      </w:r>
      <w:r w:rsidRPr="007C6B3C">
        <w:rPr>
          <w:color w:val="000000"/>
          <w:sz w:val="20"/>
          <w:szCs w:val="20"/>
          <w:bdr w:val="none" w:sz="0" w:space="0" w:color="auto" w:frame="1"/>
        </w:rPr>
        <w:t>oraz </w:t>
      </w:r>
      <w:r w:rsidRPr="007C6B3C">
        <w:rPr>
          <w:i/>
          <w:iCs/>
          <w:color w:val="000000"/>
          <w:sz w:val="20"/>
          <w:szCs w:val="20"/>
          <w:bdr w:val="none" w:sz="0" w:space="0" w:color="auto" w:frame="1"/>
        </w:rPr>
        <w:t>Rozwój niskoemisyjnego transportu zbiorowego w miastach).</w:t>
      </w:r>
    </w:p>
    <w:p w:rsidR="007C6B3C" w:rsidRDefault="007C6B3C" w:rsidP="007C6B3C">
      <w:pPr>
        <w:pStyle w:val="Akapitzlist"/>
        <w:spacing w:after="120" w:line="276" w:lineRule="auto"/>
        <w:jc w:val="both"/>
        <w:textAlignment w:val="baseline"/>
        <w:rPr>
          <w:color w:val="000000"/>
          <w:sz w:val="20"/>
          <w:szCs w:val="20"/>
        </w:rPr>
      </w:pPr>
    </w:p>
    <w:p w:rsidR="007C6B3C" w:rsidRDefault="007C6B3C" w:rsidP="007C6B3C">
      <w:pPr>
        <w:pStyle w:val="Akapitzlist"/>
        <w:spacing w:after="120" w:line="276" w:lineRule="auto"/>
        <w:jc w:val="both"/>
        <w:textAlignment w:val="baseline"/>
        <w:rPr>
          <w:color w:val="000000"/>
          <w:sz w:val="20"/>
          <w:szCs w:val="20"/>
        </w:rPr>
      </w:pPr>
      <w:r w:rsidRPr="007C6B3C">
        <w:rPr>
          <w:color w:val="000000"/>
          <w:sz w:val="20"/>
          <w:szCs w:val="20"/>
        </w:rPr>
        <w:t xml:space="preserve">Porozumienia w sprawie systemu realizacji Programu z przedstawicielami wymienionych powyżej Ministerstw zostały podpisane przez przedstawiciela Ministerstwa Infrastruktury i Rozwoju 19 listopada 2014 r. Podpisane dokumenty określają zasady współpracy między Ministerstwem Infrastruktury i Rozwoju (Instytucją Zarządzającą) a poszczególnymi Instytucjami Pośredniczącymi przy realizacji </w:t>
      </w:r>
      <w:proofErr w:type="spellStart"/>
      <w:r w:rsidRPr="007C6B3C">
        <w:rPr>
          <w:color w:val="000000"/>
          <w:sz w:val="20"/>
          <w:szCs w:val="20"/>
        </w:rPr>
        <w:t>POIiŚ</w:t>
      </w:r>
      <w:proofErr w:type="spellEnd"/>
      <w:r w:rsidRPr="007C6B3C">
        <w:rPr>
          <w:color w:val="000000"/>
          <w:sz w:val="20"/>
          <w:szCs w:val="20"/>
        </w:rPr>
        <w:t xml:space="preserve"> 2014-2020 i stanowią jeden z podstawowych elementów systemu realizacji programu.</w:t>
      </w:r>
    </w:p>
    <w:p w:rsidR="007C6B3C" w:rsidRPr="007C6B3C" w:rsidRDefault="007C6B3C" w:rsidP="007C6B3C">
      <w:pPr>
        <w:pStyle w:val="Akapitzlist"/>
        <w:autoSpaceDE w:val="0"/>
        <w:autoSpaceDN w:val="0"/>
        <w:adjustRightInd w:val="0"/>
        <w:spacing w:after="120" w:line="276" w:lineRule="auto"/>
        <w:jc w:val="both"/>
        <w:rPr>
          <w:color w:val="000000"/>
          <w:sz w:val="20"/>
          <w:szCs w:val="20"/>
          <w:shd w:val="clear" w:color="auto" w:fill="FAFAFA"/>
        </w:rPr>
      </w:pPr>
      <w:r w:rsidRPr="007C6B3C">
        <w:rPr>
          <w:color w:val="000000"/>
          <w:sz w:val="20"/>
          <w:szCs w:val="20"/>
        </w:rPr>
        <w:br/>
        <w:t>Do zadań Instytucji Pośredniczących należy przede wszystkim organizacja konkursów i wyłanianie projektów, zawieranie umów o dofinansowanie z beneficjentami, weryfikacja i zatwierdzanie wniosków o płatność sporządzanych przez beneficjentów i ewidencjonowanie tych wniosków, a także monitorowanie i sprawozdawczość z realizacji odpowiedniej osi priorytetowej.</w:t>
      </w:r>
      <w:r w:rsidRPr="007C6B3C">
        <w:rPr>
          <w:color w:val="000000"/>
          <w:sz w:val="20"/>
          <w:szCs w:val="20"/>
          <w:shd w:val="clear" w:color="auto" w:fill="FAFAFA"/>
        </w:rPr>
        <w:t xml:space="preserve"> </w:t>
      </w:r>
    </w:p>
    <w:p w:rsidR="007C6B3C" w:rsidRDefault="007C6B3C" w:rsidP="007C6B3C">
      <w:pPr>
        <w:pStyle w:val="Akapitzlist"/>
        <w:autoSpaceDE w:val="0"/>
        <w:autoSpaceDN w:val="0"/>
        <w:adjustRightInd w:val="0"/>
        <w:spacing w:after="120" w:line="276" w:lineRule="auto"/>
        <w:jc w:val="both"/>
        <w:rPr>
          <w:rFonts w:eastAsia="Arial-BoldMT"/>
          <w:b/>
          <w:bCs/>
          <w:color w:val="000000" w:themeColor="text1"/>
          <w:sz w:val="20"/>
          <w:szCs w:val="20"/>
        </w:rPr>
      </w:pPr>
      <w:r w:rsidRPr="007C6B3C">
        <w:rPr>
          <w:color w:val="000000"/>
          <w:sz w:val="20"/>
          <w:szCs w:val="20"/>
        </w:rPr>
        <w:t>Podstawą prawną zawarcia porozumień jest art. 10 ust. 1 ustawy z dnia 11 lipca 2014 r. o zasadach realizacji programów w zakresie polityki spójności finansowanych w perspektywie finansowej 2014-2020 (Dz. U. 2014 poz. 1146). </w:t>
      </w:r>
    </w:p>
    <w:p w:rsidR="007C6B3C" w:rsidRPr="00D43CC3" w:rsidRDefault="007C6B3C" w:rsidP="007C6B3C">
      <w:pPr>
        <w:pStyle w:val="Akapitzlist"/>
        <w:autoSpaceDE w:val="0"/>
        <w:autoSpaceDN w:val="0"/>
        <w:adjustRightInd w:val="0"/>
        <w:spacing w:after="120" w:line="276" w:lineRule="auto"/>
        <w:jc w:val="both"/>
        <w:rPr>
          <w:rFonts w:eastAsia="Arial-BoldMT"/>
          <w:b/>
          <w:bCs/>
          <w:color w:val="000000" w:themeColor="text1"/>
          <w:sz w:val="20"/>
          <w:szCs w:val="20"/>
        </w:rPr>
      </w:pPr>
    </w:p>
    <w:p w:rsidR="007C6B3C" w:rsidRDefault="00D73B96" w:rsidP="00D43CC3">
      <w:pPr>
        <w:autoSpaceDE w:val="0"/>
        <w:autoSpaceDN w:val="0"/>
        <w:adjustRightInd w:val="0"/>
        <w:spacing w:after="120" w:line="276" w:lineRule="auto"/>
        <w:ind w:left="708"/>
        <w:jc w:val="both"/>
        <w:rPr>
          <w:b/>
          <w:bCs/>
          <w:iCs/>
          <w:color w:val="000000" w:themeColor="text1"/>
          <w:sz w:val="20"/>
          <w:szCs w:val="20"/>
        </w:rPr>
      </w:pPr>
      <w:r w:rsidRPr="00D43CC3">
        <w:rPr>
          <w:b/>
          <w:iCs/>
          <w:color w:val="000000" w:themeColor="text1"/>
          <w:sz w:val="20"/>
          <w:szCs w:val="20"/>
        </w:rPr>
        <w:t>Oś Priorytetowa I</w:t>
      </w:r>
      <w:r w:rsidRPr="00D43CC3">
        <w:rPr>
          <w:rFonts w:eastAsia="ArialMT"/>
          <w:b/>
          <w:color w:val="000000" w:themeColor="text1"/>
          <w:sz w:val="20"/>
          <w:szCs w:val="20"/>
        </w:rPr>
        <w:t xml:space="preserve">. Priorytet inwestycyjny </w:t>
      </w:r>
      <w:r w:rsidRPr="00D43CC3">
        <w:rPr>
          <w:b/>
          <w:bCs/>
          <w:iCs/>
          <w:color w:val="000000" w:themeColor="text1"/>
          <w:sz w:val="20"/>
          <w:szCs w:val="20"/>
        </w:rPr>
        <w:t xml:space="preserve">4.III </w:t>
      </w:r>
    </w:p>
    <w:p w:rsidR="00D73B96" w:rsidRPr="00D43CC3" w:rsidRDefault="00D73B96" w:rsidP="00D43CC3">
      <w:pPr>
        <w:autoSpaceDE w:val="0"/>
        <w:autoSpaceDN w:val="0"/>
        <w:adjustRightInd w:val="0"/>
        <w:spacing w:after="120" w:line="276" w:lineRule="auto"/>
        <w:ind w:left="708"/>
        <w:jc w:val="both"/>
        <w:rPr>
          <w:rFonts w:eastAsia="ArialMT"/>
          <w:b/>
          <w:color w:val="000000" w:themeColor="text1"/>
          <w:sz w:val="20"/>
          <w:szCs w:val="20"/>
        </w:rPr>
      </w:pPr>
      <w:r w:rsidRPr="00D43CC3">
        <w:rPr>
          <w:b/>
          <w:bCs/>
          <w:iCs/>
          <w:color w:val="000000" w:themeColor="text1"/>
          <w:sz w:val="20"/>
          <w:szCs w:val="20"/>
        </w:rPr>
        <w:t>Wspieranie efektywności energetycznej, inteligentnego zarządzania energią i wykorzystania odnawialnych źródeł energii w infrastrukturze publicznej, w tym w budynkach publicznych i w sektorze mieszkaniowym</w:t>
      </w:r>
    </w:p>
    <w:p w:rsidR="00D73B96" w:rsidRPr="00D73B96" w:rsidRDefault="00D73B96" w:rsidP="00D43CC3">
      <w:pPr>
        <w:autoSpaceDE w:val="0"/>
        <w:autoSpaceDN w:val="0"/>
        <w:adjustRightInd w:val="0"/>
        <w:spacing w:after="120" w:line="276" w:lineRule="auto"/>
        <w:ind w:left="708"/>
        <w:jc w:val="both"/>
        <w:rPr>
          <w:rFonts w:eastAsia="ArialMT"/>
          <w:sz w:val="20"/>
          <w:szCs w:val="20"/>
        </w:rPr>
      </w:pPr>
      <w:r w:rsidRPr="00D73B96">
        <w:rPr>
          <w:rFonts w:eastAsia="ArialMT"/>
          <w:sz w:val="20"/>
          <w:szCs w:val="20"/>
        </w:rPr>
        <w:t>Przewiduje się wsparcie głębokiej kompleksowej modernizacji energetycznej budynków użyteczności publicznej i mieszkalnych wraz z wymianą wyposażenia tych obiektów na energooszczędne w zakresie związanym m.in. z:</w:t>
      </w:r>
    </w:p>
    <w:p w:rsidR="00D73B96" w:rsidRPr="00D73B96" w:rsidRDefault="00D73B96" w:rsidP="00303BB2">
      <w:pPr>
        <w:pStyle w:val="Akapitzlist"/>
        <w:numPr>
          <w:ilvl w:val="0"/>
          <w:numId w:val="6"/>
        </w:numPr>
        <w:autoSpaceDE w:val="0"/>
        <w:autoSpaceDN w:val="0"/>
        <w:adjustRightInd w:val="0"/>
        <w:spacing w:after="120" w:line="276" w:lineRule="auto"/>
        <w:jc w:val="both"/>
        <w:rPr>
          <w:rFonts w:eastAsia="ArialMT"/>
          <w:sz w:val="20"/>
          <w:szCs w:val="20"/>
        </w:rPr>
      </w:pPr>
      <w:r w:rsidRPr="00D73B96">
        <w:rPr>
          <w:rFonts w:eastAsia="ArialMT"/>
          <w:sz w:val="20"/>
          <w:szCs w:val="20"/>
        </w:rPr>
        <w:t>ociepleniem obiektu, wymianą okien, drzwi zewnętrznych oraz oświetlenia na energooszczędne,</w:t>
      </w:r>
    </w:p>
    <w:p w:rsidR="00D73B96" w:rsidRPr="00D73B96" w:rsidRDefault="00D73B96" w:rsidP="00303BB2">
      <w:pPr>
        <w:pStyle w:val="Akapitzlist"/>
        <w:numPr>
          <w:ilvl w:val="0"/>
          <w:numId w:val="6"/>
        </w:numPr>
        <w:autoSpaceDE w:val="0"/>
        <w:autoSpaceDN w:val="0"/>
        <w:adjustRightInd w:val="0"/>
        <w:spacing w:after="120" w:line="276" w:lineRule="auto"/>
        <w:jc w:val="both"/>
        <w:rPr>
          <w:rFonts w:eastAsia="ArialMT"/>
          <w:sz w:val="20"/>
          <w:szCs w:val="20"/>
        </w:rPr>
      </w:pPr>
      <w:r w:rsidRPr="00D73B96">
        <w:rPr>
          <w:rFonts w:eastAsia="ArialMT"/>
          <w:sz w:val="20"/>
          <w:szCs w:val="20"/>
        </w:rPr>
        <w:t>przebudową systemów grzewczych (wraz z wymianą i przyłączeniem źródła ciepła), systemów wentylacji i klimatyzacji, związanym z zastosowaniem automatyki pogodowej i systemów zarządzania budynkiem,</w:t>
      </w:r>
    </w:p>
    <w:p w:rsidR="00D73B96" w:rsidRPr="00D73B96" w:rsidRDefault="00D73B96" w:rsidP="00303BB2">
      <w:pPr>
        <w:pStyle w:val="Akapitzlist"/>
        <w:numPr>
          <w:ilvl w:val="0"/>
          <w:numId w:val="6"/>
        </w:numPr>
        <w:autoSpaceDE w:val="0"/>
        <w:autoSpaceDN w:val="0"/>
        <w:adjustRightInd w:val="0"/>
        <w:spacing w:after="120" w:line="276" w:lineRule="auto"/>
        <w:jc w:val="both"/>
        <w:rPr>
          <w:rFonts w:eastAsia="ArialMT"/>
          <w:sz w:val="20"/>
          <w:szCs w:val="20"/>
        </w:rPr>
      </w:pPr>
      <w:r w:rsidRPr="00D73B96">
        <w:rPr>
          <w:rFonts w:eastAsia="ArialMT"/>
          <w:sz w:val="20"/>
          <w:szCs w:val="20"/>
        </w:rPr>
        <w:t>budową lub modernizacją wewnętrznych instalacji odbiorczych oraz likwidacją dotychczasowych źródeł ciepła,</w:t>
      </w:r>
    </w:p>
    <w:p w:rsidR="00D73B96" w:rsidRPr="00D73B96" w:rsidRDefault="00D73B96" w:rsidP="00303BB2">
      <w:pPr>
        <w:pStyle w:val="Akapitzlist"/>
        <w:numPr>
          <w:ilvl w:val="0"/>
          <w:numId w:val="6"/>
        </w:numPr>
        <w:autoSpaceDE w:val="0"/>
        <w:autoSpaceDN w:val="0"/>
        <w:adjustRightInd w:val="0"/>
        <w:spacing w:after="120" w:line="276" w:lineRule="auto"/>
        <w:jc w:val="both"/>
        <w:rPr>
          <w:rFonts w:eastAsia="ArialMT"/>
          <w:sz w:val="20"/>
          <w:szCs w:val="20"/>
        </w:rPr>
      </w:pPr>
      <w:r w:rsidRPr="00D73B96">
        <w:rPr>
          <w:rFonts w:eastAsia="ArialMT"/>
          <w:sz w:val="20"/>
          <w:szCs w:val="20"/>
        </w:rPr>
        <w:lastRenderedPageBreak/>
        <w:t xml:space="preserve">instalacją </w:t>
      </w:r>
      <w:proofErr w:type="spellStart"/>
      <w:r w:rsidRPr="00D73B96">
        <w:rPr>
          <w:rFonts w:eastAsia="ArialMT"/>
          <w:sz w:val="20"/>
          <w:szCs w:val="20"/>
        </w:rPr>
        <w:t>mikrogeneracji</w:t>
      </w:r>
      <w:proofErr w:type="spellEnd"/>
      <w:r w:rsidRPr="00D73B96">
        <w:rPr>
          <w:rFonts w:eastAsia="ArialMT"/>
          <w:sz w:val="20"/>
          <w:szCs w:val="20"/>
        </w:rPr>
        <w:t xml:space="preserve"> lub </w:t>
      </w:r>
      <w:proofErr w:type="spellStart"/>
      <w:r w:rsidRPr="00D73B96">
        <w:rPr>
          <w:rFonts w:eastAsia="ArialMT"/>
          <w:sz w:val="20"/>
          <w:szCs w:val="20"/>
        </w:rPr>
        <w:t>mikrotrigeneracji</w:t>
      </w:r>
      <w:proofErr w:type="spellEnd"/>
      <w:r w:rsidRPr="00D73B96">
        <w:rPr>
          <w:rFonts w:eastAsia="ArialMT"/>
          <w:sz w:val="20"/>
          <w:szCs w:val="20"/>
        </w:rPr>
        <w:t xml:space="preserve"> na potrzeby własne,</w:t>
      </w:r>
    </w:p>
    <w:p w:rsidR="00D73B96" w:rsidRPr="00D73B96" w:rsidRDefault="00D73B96" w:rsidP="00303BB2">
      <w:pPr>
        <w:pStyle w:val="Akapitzlist"/>
        <w:numPr>
          <w:ilvl w:val="0"/>
          <w:numId w:val="6"/>
        </w:numPr>
        <w:autoSpaceDE w:val="0"/>
        <w:autoSpaceDN w:val="0"/>
        <w:adjustRightInd w:val="0"/>
        <w:spacing w:after="120" w:line="276" w:lineRule="auto"/>
        <w:jc w:val="both"/>
        <w:rPr>
          <w:rFonts w:eastAsia="ArialMT"/>
          <w:sz w:val="20"/>
          <w:szCs w:val="20"/>
        </w:rPr>
      </w:pPr>
      <w:r w:rsidRPr="00D73B96">
        <w:rPr>
          <w:rFonts w:eastAsia="ArialMT"/>
          <w:sz w:val="20"/>
          <w:szCs w:val="20"/>
        </w:rPr>
        <w:t>instalacją OZE w modernizowanych energetycznie budynkach (o ile wynika to z audytu energetycznego),</w:t>
      </w:r>
    </w:p>
    <w:p w:rsidR="00D73B96" w:rsidRPr="00D73B96" w:rsidRDefault="00D73B96" w:rsidP="00303BB2">
      <w:pPr>
        <w:pStyle w:val="Akapitzlist"/>
        <w:numPr>
          <w:ilvl w:val="0"/>
          <w:numId w:val="6"/>
        </w:numPr>
        <w:autoSpaceDE w:val="0"/>
        <w:autoSpaceDN w:val="0"/>
        <w:adjustRightInd w:val="0"/>
        <w:spacing w:after="120" w:line="276" w:lineRule="auto"/>
        <w:jc w:val="both"/>
        <w:rPr>
          <w:rFonts w:eastAsia="ArialMT"/>
          <w:sz w:val="20"/>
          <w:szCs w:val="20"/>
        </w:rPr>
      </w:pPr>
      <w:r w:rsidRPr="00D73B96">
        <w:rPr>
          <w:rFonts w:eastAsia="ArialMT"/>
          <w:sz w:val="20"/>
          <w:szCs w:val="20"/>
        </w:rPr>
        <w:t>instalacją systemów chłodzących, w tym również z OZE.</w:t>
      </w:r>
    </w:p>
    <w:p w:rsidR="00D73B96" w:rsidRPr="00D73B96" w:rsidRDefault="00D73B96" w:rsidP="008F2445">
      <w:pPr>
        <w:autoSpaceDE w:val="0"/>
        <w:autoSpaceDN w:val="0"/>
        <w:adjustRightInd w:val="0"/>
        <w:spacing w:after="120" w:line="276" w:lineRule="auto"/>
        <w:ind w:left="708"/>
        <w:jc w:val="both"/>
        <w:rPr>
          <w:rFonts w:eastAsia="ArialMT"/>
          <w:b/>
          <w:sz w:val="20"/>
          <w:szCs w:val="20"/>
        </w:rPr>
      </w:pPr>
      <w:r w:rsidRPr="00D73B96">
        <w:rPr>
          <w:rFonts w:eastAsia="ArialMT"/>
          <w:b/>
          <w:sz w:val="20"/>
          <w:szCs w:val="20"/>
        </w:rPr>
        <w:t>Cel:</w:t>
      </w:r>
      <w:r w:rsidRPr="00D73B96">
        <w:rPr>
          <w:rFonts w:eastAsia="ArialMT"/>
          <w:sz w:val="20"/>
          <w:szCs w:val="20"/>
        </w:rPr>
        <w:t xml:space="preserve"> Zwiększenie efektywności energetycznej w budownictwie wielorodzinnym mieszkaniowym oraz w budynkach użyteczności publicznej.</w:t>
      </w:r>
    </w:p>
    <w:p w:rsidR="00D73B96" w:rsidRPr="00D73B96" w:rsidRDefault="00D73B96" w:rsidP="00D43CC3">
      <w:pPr>
        <w:autoSpaceDE w:val="0"/>
        <w:autoSpaceDN w:val="0"/>
        <w:adjustRightInd w:val="0"/>
        <w:spacing w:after="120" w:line="276" w:lineRule="auto"/>
        <w:ind w:left="708"/>
        <w:jc w:val="both"/>
        <w:rPr>
          <w:rFonts w:eastAsia="ArialMT"/>
          <w:sz w:val="20"/>
          <w:szCs w:val="20"/>
        </w:rPr>
      </w:pPr>
      <w:r w:rsidRPr="00D73B96">
        <w:rPr>
          <w:rFonts w:eastAsia="ArialMT"/>
          <w:b/>
          <w:sz w:val="20"/>
          <w:szCs w:val="20"/>
        </w:rPr>
        <w:t xml:space="preserve">Budżet </w:t>
      </w:r>
      <w:r w:rsidRPr="00D73B96">
        <w:rPr>
          <w:rFonts w:eastAsia="ArialMT"/>
          <w:sz w:val="20"/>
          <w:szCs w:val="20"/>
        </w:rPr>
        <w:t>: 451 721 t</w:t>
      </w:r>
      <w:r w:rsidR="008F2445">
        <w:rPr>
          <w:rFonts w:eastAsia="ArialMT"/>
          <w:sz w:val="20"/>
          <w:szCs w:val="20"/>
        </w:rPr>
        <w:t>ys. EUR (w tym 180 700 tys. EUR,</w:t>
      </w:r>
      <w:r w:rsidRPr="00D73B96">
        <w:rPr>
          <w:rFonts w:eastAsia="SymbolMT"/>
          <w:sz w:val="20"/>
          <w:szCs w:val="20"/>
        </w:rPr>
        <w:t xml:space="preserve"> </w:t>
      </w:r>
      <w:r w:rsidRPr="00D73B96">
        <w:rPr>
          <w:rFonts w:eastAsia="ArialMT"/>
          <w:sz w:val="20"/>
          <w:szCs w:val="20"/>
        </w:rPr>
        <w:t>budynki publiczne i 271</w:t>
      </w:r>
      <w:r w:rsidR="00D43CC3">
        <w:rPr>
          <w:rFonts w:eastAsia="ArialMT"/>
          <w:sz w:val="20"/>
          <w:szCs w:val="20"/>
        </w:rPr>
        <w:t> </w:t>
      </w:r>
      <w:r w:rsidRPr="00D73B96">
        <w:rPr>
          <w:rFonts w:eastAsia="ArialMT"/>
          <w:sz w:val="20"/>
          <w:szCs w:val="20"/>
        </w:rPr>
        <w:t xml:space="preserve">021 </w:t>
      </w:r>
      <w:r w:rsidR="008F2445">
        <w:rPr>
          <w:rFonts w:eastAsia="ArialMT"/>
          <w:sz w:val="20"/>
          <w:szCs w:val="20"/>
        </w:rPr>
        <w:t>tys. EUR,</w:t>
      </w:r>
      <w:r w:rsidRPr="00D73B96">
        <w:rPr>
          <w:rFonts w:eastAsia="SymbolMT"/>
          <w:sz w:val="20"/>
          <w:szCs w:val="20"/>
        </w:rPr>
        <w:t xml:space="preserve"> </w:t>
      </w:r>
      <w:r w:rsidRPr="00D73B96">
        <w:rPr>
          <w:rFonts w:eastAsia="ArialMT"/>
          <w:sz w:val="20"/>
          <w:szCs w:val="20"/>
        </w:rPr>
        <w:t>sektor mieszkaniowy), wkład ze środków UE (Fundusz Spójności).</w:t>
      </w:r>
    </w:p>
    <w:p w:rsidR="00D73B96" w:rsidRPr="00D73B96" w:rsidRDefault="00D73B96" w:rsidP="00D43CC3">
      <w:pPr>
        <w:autoSpaceDE w:val="0"/>
        <w:autoSpaceDN w:val="0"/>
        <w:adjustRightInd w:val="0"/>
        <w:spacing w:after="120" w:line="276" w:lineRule="auto"/>
        <w:ind w:firstLine="708"/>
        <w:jc w:val="both"/>
        <w:rPr>
          <w:rFonts w:eastAsia="ArialMT"/>
          <w:sz w:val="20"/>
          <w:szCs w:val="20"/>
        </w:rPr>
      </w:pPr>
      <w:r w:rsidRPr="00D73B96">
        <w:rPr>
          <w:rFonts w:eastAsia="ArialMT"/>
          <w:b/>
          <w:sz w:val="20"/>
          <w:szCs w:val="20"/>
        </w:rPr>
        <w:t>Czas:</w:t>
      </w:r>
      <w:r w:rsidRPr="00D73B96">
        <w:rPr>
          <w:rFonts w:eastAsia="ArialMT"/>
          <w:sz w:val="20"/>
          <w:szCs w:val="20"/>
        </w:rPr>
        <w:t xml:space="preserve"> Czas trwania określono na: od 01.01.2014 r. do 31.12.2023 r.</w:t>
      </w:r>
    </w:p>
    <w:p w:rsidR="00D73B96" w:rsidRDefault="00D73B96" w:rsidP="00D43CC3">
      <w:pPr>
        <w:autoSpaceDE w:val="0"/>
        <w:autoSpaceDN w:val="0"/>
        <w:adjustRightInd w:val="0"/>
        <w:spacing w:after="120" w:line="276" w:lineRule="auto"/>
        <w:ind w:left="708"/>
        <w:jc w:val="both"/>
        <w:rPr>
          <w:rFonts w:eastAsia="ArialMT"/>
          <w:sz w:val="20"/>
          <w:szCs w:val="20"/>
        </w:rPr>
      </w:pPr>
      <w:r w:rsidRPr="00D73B96">
        <w:rPr>
          <w:rFonts w:eastAsia="Arial-BoldMT"/>
          <w:b/>
          <w:bCs/>
          <w:sz w:val="20"/>
          <w:szCs w:val="20"/>
        </w:rPr>
        <w:t xml:space="preserve">Beneficjenci : </w:t>
      </w:r>
      <w:r w:rsidRPr="00D73B96">
        <w:rPr>
          <w:rFonts w:eastAsia="ArialMT"/>
          <w:sz w:val="20"/>
          <w:szCs w:val="20"/>
        </w:rPr>
        <w:t xml:space="preserve"> W ramach priorytetu inwestycyjnego wsparcie przewidziane jest dla organów władzy publicznej, w tym państwowych jednostek budżetowych i administracji rządowej oraz podległych jej organów i jednostek organizacyjnych, spółdzielni mieszkaniowych oraz wspólnot mieszkaniowych, państwowych osób prawnych, a także podmiotów będących dostawcami usług energetycznych w rozumieniu dyrektywy Parlamentu Europejskiego i Rady 2012/27/UE z dnia 25 października 2012 r. </w:t>
      </w:r>
      <w:r w:rsidRPr="00D73B96">
        <w:rPr>
          <w:rFonts w:eastAsia="ArialMT"/>
          <w:i/>
          <w:iCs/>
          <w:sz w:val="20"/>
          <w:szCs w:val="20"/>
        </w:rPr>
        <w:t>w sprawie efektywności energetycznej</w:t>
      </w:r>
      <w:r w:rsidRPr="00D73B96">
        <w:rPr>
          <w:rFonts w:eastAsia="ArialMT"/>
          <w:sz w:val="20"/>
          <w:szCs w:val="20"/>
        </w:rPr>
        <w:t xml:space="preserve">, zmiany dyrektyw 2009/125/WE i 2010/30/UE oraz uchylenia dyrektyw 2004/8/WE i 2006/32/WE (Dz. Urz. UE L315 z 14.11.2012, str. 1, z </w:t>
      </w:r>
      <w:proofErr w:type="spellStart"/>
      <w:r w:rsidRPr="00D73B96">
        <w:rPr>
          <w:rFonts w:eastAsia="ArialMT"/>
          <w:sz w:val="20"/>
          <w:szCs w:val="20"/>
        </w:rPr>
        <w:t>późn</w:t>
      </w:r>
      <w:proofErr w:type="spellEnd"/>
      <w:r w:rsidRPr="00D73B96">
        <w:rPr>
          <w:rFonts w:eastAsia="ArialMT"/>
          <w:sz w:val="20"/>
          <w:szCs w:val="20"/>
        </w:rPr>
        <w:t>. zm.).</w:t>
      </w:r>
    </w:p>
    <w:p w:rsidR="00657899" w:rsidRPr="00657899" w:rsidRDefault="00657899" w:rsidP="00657899">
      <w:pPr>
        <w:pStyle w:val="Akapitzlist"/>
        <w:autoSpaceDE w:val="0"/>
        <w:autoSpaceDN w:val="0"/>
        <w:adjustRightInd w:val="0"/>
        <w:spacing w:after="120" w:line="276" w:lineRule="auto"/>
        <w:jc w:val="both"/>
        <w:rPr>
          <w:rFonts w:eastAsia="ArialMT"/>
          <w:sz w:val="20"/>
          <w:szCs w:val="20"/>
        </w:rPr>
      </w:pPr>
    </w:p>
    <w:p w:rsidR="00D73B96" w:rsidRPr="00D43CC3" w:rsidRDefault="00D73B96" w:rsidP="00303BB2">
      <w:pPr>
        <w:pStyle w:val="Akapitzlist"/>
        <w:numPr>
          <w:ilvl w:val="0"/>
          <w:numId w:val="2"/>
        </w:numPr>
        <w:autoSpaceDE w:val="0"/>
        <w:autoSpaceDN w:val="0"/>
        <w:adjustRightInd w:val="0"/>
        <w:spacing w:after="120" w:line="276" w:lineRule="auto"/>
        <w:jc w:val="both"/>
        <w:rPr>
          <w:rFonts w:eastAsia="ArialMT"/>
          <w:sz w:val="20"/>
          <w:szCs w:val="20"/>
        </w:rPr>
      </w:pPr>
      <w:r w:rsidRPr="00D43CC3">
        <w:rPr>
          <w:rFonts w:eastAsia="ArialMT"/>
          <w:b/>
          <w:sz w:val="20"/>
          <w:szCs w:val="20"/>
        </w:rPr>
        <w:t>Regionalne Programy Operacyjne (RPO)</w:t>
      </w:r>
      <w:r w:rsidR="00702B11">
        <w:rPr>
          <w:rStyle w:val="Odwoanieprzypisudolnego"/>
          <w:rFonts w:eastAsia="ArialMT"/>
          <w:b/>
          <w:sz w:val="20"/>
          <w:szCs w:val="20"/>
        </w:rPr>
        <w:footnoteReference w:id="3"/>
      </w:r>
      <w:r w:rsidRPr="00D43CC3">
        <w:rPr>
          <w:rFonts w:eastAsia="ArialMT"/>
          <w:sz w:val="20"/>
          <w:szCs w:val="20"/>
        </w:rPr>
        <w:t xml:space="preserve">. Zgodnie z Umową Partnerstwa na 16 regionalnych programów w latach 2014-2020 zostanie przeznaczonych 60% funduszy strukturalnych (Europejski Fundusz Rozwoju Regionalnego i Europejski Fundusz Społeczny). Każde z województw dysponuje pewną częścią wszystkich dostępnych w programie środków finansowych i opracowuje swój Regionalny Program Operacyjny. </w:t>
      </w:r>
    </w:p>
    <w:p w:rsidR="00D73B96" w:rsidRPr="00D73B96" w:rsidRDefault="00D73B96" w:rsidP="00D43CC3">
      <w:pPr>
        <w:autoSpaceDE w:val="0"/>
        <w:autoSpaceDN w:val="0"/>
        <w:adjustRightInd w:val="0"/>
        <w:spacing w:after="120" w:line="276" w:lineRule="auto"/>
        <w:ind w:left="708"/>
        <w:jc w:val="both"/>
        <w:rPr>
          <w:rFonts w:eastAsia="ArialMT"/>
          <w:sz w:val="20"/>
          <w:szCs w:val="20"/>
        </w:rPr>
      </w:pPr>
      <w:r w:rsidRPr="00D73B96">
        <w:rPr>
          <w:rFonts w:eastAsia="ArialMT"/>
          <w:sz w:val="20"/>
          <w:szCs w:val="20"/>
        </w:rPr>
        <w:t>Wśród proponowanych działań znajdują się też te dotyczące poprawy efektywności energetycznej w budownictwie. Beneficjenci, typ przedsięwzięcia oraz sposób finansowania ustalany jest indywidualnie dla każdego województwa, jednak w ramach określonych celów tematycznych i priorytetów inwestycyjnych.</w:t>
      </w:r>
    </w:p>
    <w:p w:rsidR="008F2445" w:rsidRDefault="00D73B96" w:rsidP="006C4387">
      <w:pPr>
        <w:autoSpaceDE w:val="0"/>
        <w:autoSpaceDN w:val="0"/>
        <w:adjustRightInd w:val="0"/>
        <w:spacing w:after="120" w:line="276" w:lineRule="auto"/>
        <w:ind w:left="708"/>
        <w:jc w:val="both"/>
        <w:rPr>
          <w:rFonts w:eastAsia="ArialMT"/>
          <w:i/>
          <w:iCs/>
          <w:sz w:val="20"/>
          <w:szCs w:val="20"/>
        </w:rPr>
      </w:pPr>
      <w:r w:rsidRPr="00D73B96">
        <w:rPr>
          <w:rFonts w:eastAsia="ArialMT"/>
          <w:sz w:val="20"/>
          <w:szCs w:val="20"/>
        </w:rPr>
        <w:t xml:space="preserve">Szczegółowa informacja dotycząca Regionalnych Programów Operacyjnych na lata 2014-2020 została przedstawiona w załączniku nr 3 do </w:t>
      </w:r>
      <w:r w:rsidRPr="00D73B96">
        <w:rPr>
          <w:rFonts w:eastAsia="ArialMT"/>
          <w:i/>
          <w:iCs/>
          <w:sz w:val="20"/>
          <w:szCs w:val="20"/>
        </w:rPr>
        <w:t xml:space="preserve">Krajowego planu. </w:t>
      </w:r>
    </w:p>
    <w:p w:rsidR="008F2445" w:rsidRDefault="00D73B96" w:rsidP="006C4387">
      <w:pPr>
        <w:autoSpaceDE w:val="0"/>
        <w:autoSpaceDN w:val="0"/>
        <w:adjustRightInd w:val="0"/>
        <w:spacing w:after="120" w:line="276" w:lineRule="auto"/>
        <w:ind w:left="708"/>
        <w:jc w:val="both"/>
        <w:rPr>
          <w:rFonts w:eastAsia="ArialMT"/>
          <w:sz w:val="20"/>
          <w:szCs w:val="20"/>
        </w:rPr>
      </w:pPr>
      <w:r w:rsidRPr="00D73B96">
        <w:rPr>
          <w:rFonts w:eastAsia="ArialMT"/>
          <w:sz w:val="20"/>
          <w:szCs w:val="20"/>
        </w:rPr>
        <w:t>Informacja obejmuje działania planowane w ramach priorytetu inwestycyjnego PI 4.III (wcześniej używana numeracja to PI 4.3) dotyczącego zwiększenia efektywności energetycznej budynków użyteczności publicznej i mieszkalnych wielorodzinnych. Nie jest jednak wykluczona realizacja projektów z omawianego zakresu w innym priorytecie inwestycyjnym, w tym w szczególności</w:t>
      </w:r>
      <w:r w:rsidR="008F2445">
        <w:rPr>
          <w:rFonts w:eastAsia="ArialMT"/>
          <w:sz w:val="20"/>
          <w:szCs w:val="20"/>
        </w:rPr>
        <w:t>:</w:t>
      </w:r>
    </w:p>
    <w:p w:rsidR="008F2445" w:rsidRDefault="00D73B96" w:rsidP="006C4387">
      <w:pPr>
        <w:autoSpaceDE w:val="0"/>
        <w:autoSpaceDN w:val="0"/>
        <w:adjustRightInd w:val="0"/>
        <w:spacing w:after="120" w:line="276" w:lineRule="auto"/>
        <w:ind w:left="708"/>
        <w:jc w:val="both"/>
        <w:rPr>
          <w:rFonts w:eastAsia="ArialMT"/>
          <w:sz w:val="20"/>
          <w:szCs w:val="20"/>
        </w:rPr>
      </w:pPr>
      <w:r w:rsidRPr="00D73B96">
        <w:rPr>
          <w:rFonts w:eastAsia="ArialMT"/>
          <w:sz w:val="20"/>
          <w:szCs w:val="20"/>
        </w:rPr>
        <w:lastRenderedPageBreak/>
        <w:t xml:space="preserve">PI 4.II (promowanie efektywności energetycznej i korzystania z odnawialnych źródeł energii w przedsiębiorstwach) oraz </w:t>
      </w:r>
    </w:p>
    <w:p w:rsidR="004E3AA7" w:rsidRDefault="00D73B96" w:rsidP="006C4387">
      <w:pPr>
        <w:autoSpaceDE w:val="0"/>
        <w:autoSpaceDN w:val="0"/>
        <w:adjustRightInd w:val="0"/>
        <w:spacing w:after="120" w:line="276" w:lineRule="auto"/>
        <w:ind w:left="708"/>
        <w:jc w:val="both"/>
        <w:rPr>
          <w:rFonts w:eastAsia="ArialMT"/>
          <w:sz w:val="20"/>
          <w:szCs w:val="20"/>
        </w:rPr>
      </w:pPr>
      <w:r w:rsidRPr="00D73B96">
        <w:rPr>
          <w:rFonts w:eastAsia="ArialMT"/>
          <w:sz w:val="20"/>
          <w:szCs w:val="20"/>
        </w:rPr>
        <w:t xml:space="preserve">PI 4.V (promowanie strategii niskoemisyjnych). </w:t>
      </w:r>
    </w:p>
    <w:p w:rsidR="00D73B96" w:rsidRPr="00D73B96" w:rsidRDefault="00D73B96" w:rsidP="006C4387">
      <w:pPr>
        <w:autoSpaceDE w:val="0"/>
        <w:autoSpaceDN w:val="0"/>
        <w:adjustRightInd w:val="0"/>
        <w:spacing w:after="120" w:line="276" w:lineRule="auto"/>
        <w:ind w:left="708"/>
        <w:jc w:val="both"/>
        <w:rPr>
          <w:rFonts w:eastAsia="ArialMT"/>
          <w:sz w:val="20"/>
          <w:szCs w:val="20"/>
        </w:rPr>
      </w:pPr>
      <w:r w:rsidRPr="00D73B96">
        <w:rPr>
          <w:rFonts w:eastAsia="ArialMT"/>
          <w:sz w:val="20"/>
          <w:szCs w:val="20"/>
        </w:rPr>
        <w:t>Należy mieć jednak na uwadze, że projekty dotyczące efektywności energetycznej budynków w tych priorytetach inwestycyjnych będą, co do zasady, stanowić element większych przedsięwzięć wynikających z przeprowadzonych audytów energetycznych czy opracowanych strategii niskoemisyjnych, dlatego nie jest możliwe podanie tak szczegółowych informacji jak w przypadku PI 4.III. Łączna kwota przewidziana na priorytet inwestycyjny 4III to 1 545 941 800 EUR. W ramach priorytetu realizowane będą zadania polegające na głębokiej kompleksowej modernizacji energetycznej budynków użyteczności publicznej oraz mieszkalnych wielorodzinnych wraz z wymianą wyposażenia tych obiektów na energooszczędne w zakresie związanym m.in. z: ociepleniem obiektu, wymianą okien, drzwi zewnętrznych oraz oświetlenia na energooszczędne,</w:t>
      </w:r>
    </w:p>
    <w:p w:rsidR="00D73B96" w:rsidRPr="00D73B96" w:rsidRDefault="00D73B96" w:rsidP="00303BB2">
      <w:pPr>
        <w:pStyle w:val="Akapitzlist"/>
        <w:numPr>
          <w:ilvl w:val="0"/>
          <w:numId w:val="7"/>
        </w:numPr>
        <w:autoSpaceDE w:val="0"/>
        <w:autoSpaceDN w:val="0"/>
        <w:adjustRightInd w:val="0"/>
        <w:spacing w:after="120" w:line="276" w:lineRule="auto"/>
        <w:jc w:val="both"/>
        <w:rPr>
          <w:rFonts w:eastAsia="ArialMT"/>
          <w:sz w:val="20"/>
          <w:szCs w:val="20"/>
        </w:rPr>
      </w:pPr>
      <w:r w:rsidRPr="00D73B96">
        <w:rPr>
          <w:rFonts w:eastAsia="ArialMT"/>
          <w:sz w:val="20"/>
          <w:szCs w:val="20"/>
        </w:rPr>
        <w:t>przebudową systemów grzewczych (wraz z wymianą i przyłączeniem źródła ciepła), systemów wentylacji i klimatyzacji,</w:t>
      </w:r>
    </w:p>
    <w:p w:rsidR="00D73B96" w:rsidRPr="00D73B96" w:rsidRDefault="00D73B96" w:rsidP="00303BB2">
      <w:pPr>
        <w:pStyle w:val="Akapitzlist"/>
        <w:numPr>
          <w:ilvl w:val="0"/>
          <w:numId w:val="7"/>
        </w:numPr>
        <w:autoSpaceDE w:val="0"/>
        <w:autoSpaceDN w:val="0"/>
        <w:adjustRightInd w:val="0"/>
        <w:spacing w:after="120" w:line="276" w:lineRule="auto"/>
        <w:jc w:val="both"/>
        <w:rPr>
          <w:rFonts w:eastAsia="ArialMT"/>
          <w:sz w:val="20"/>
          <w:szCs w:val="20"/>
        </w:rPr>
      </w:pPr>
      <w:r w:rsidRPr="00D73B96">
        <w:rPr>
          <w:rFonts w:eastAsia="ArialMT"/>
          <w:sz w:val="20"/>
          <w:szCs w:val="20"/>
        </w:rPr>
        <w:t>budową lub modernizacją wewnętrznych instalacji odbiorczych oraz likwidacją dotychczasowych źródeł ciepła,</w:t>
      </w:r>
    </w:p>
    <w:p w:rsidR="00D73B96" w:rsidRPr="00D73B96" w:rsidRDefault="00D73B96" w:rsidP="00303BB2">
      <w:pPr>
        <w:pStyle w:val="Akapitzlist"/>
        <w:numPr>
          <w:ilvl w:val="0"/>
          <w:numId w:val="7"/>
        </w:numPr>
        <w:autoSpaceDE w:val="0"/>
        <w:autoSpaceDN w:val="0"/>
        <w:adjustRightInd w:val="0"/>
        <w:spacing w:after="120" w:line="276" w:lineRule="auto"/>
        <w:jc w:val="both"/>
        <w:rPr>
          <w:rFonts w:eastAsia="ArialMT"/>
          <w:sz w:val="20"/>
          <w:szCs w:val="20"/>
        </w:rPr>
      </w:pPr>
      <w:r w:rsidRPr="00D73B96">
        <w:rPr>
          <w:rFonts w:eastAsia="ArialMT"/>
          <w:sz w:val="20"/>
          <w:szCs w:val="20"/>
        </w:rPr>
        <w:t>wykorzystanie technologii OZE w budynkach,</w:t>
      </w:r>
    </w:p>
    <w:p w:rsidR="00D73B96" w:rsidRPr="00D73B96" w:rsidRDefault="00D73B96" w:rsidP="00303BB2">
      <w:pPr>
        <w:pStyle w:val="Akapitzlist"/>
        <w:numPr>
          <w:ilvl w:val="0"/>
          <w:numId w:val="7"/>
        </w:numPr>
        <w:autoSpaceDE w:val="0"/>
        <w:autoSpaceDN w:val="0"/>
        <w:adjustRightInd w:val="0"/>
        <w:spacing w:after="120" w:line="276" w:lineRule="auto"/>
        <w:jc w:val="both"/>
        <w:rPr>
          <w:rFonts w:eastAsia="ArialMT"/>
          <w:sz w:val="20"/>
          <w:szCs w:val="20"/>
        </w:rPr>
      </w:pPr>
      <w:r w:rsidRPr="00D73B96">
        <w:rPr>
          <w:rFonts w:eastAsia="ArialMT"/>
          <w:sz w:val="20"/>
          <w:szCs w:val="20"/>
        </w:rPr>
        <w:t>instalacją systemów chłodzących, w tym również z OZE.</w:t>
      </w:r>
    </w:p>
    <w:p w:rsidR="00D73B96" w:rsidRDefault="00D73B96" w:rsidP="006C4387">
      <w:pPr>
        <w:autoSpaceDE w:val="0"/>
        <w:autoSpaceDN w:val="0"/>
        <w:adjustRightInd w:val="0"/>
        <w:spacing w:after="120" w:line="276" w:lineRule="auto"/>
        <w:ind w:left="708"/>
        <w:jc w:val="both"/>
        <w:rPr>
          <w:rFonts w:eastAsia="ArialMT"/>
          <w:sz w:val="20"/>
          <w:szCs w:val="20"/>
        </w:rPr>
      </w:pPr>
      <w:r w:rsidRPr="00D73B96">
        <w:rPr>
          <w:rFonts w:eastAsia="ArialMT"/>
          <w:sz w:val="20"/>
          <w:szCs w:val="20"/>
        </w:rPr>
        <w:t>Realizowane inwestycje mają wynikać z audytów energetycznych. Często projekty zakładają również</w:t>
      </w:r>
      <w:r w:rsidR="006C4387">
        <w:rPr>
          <w:rFonts w:eastAsia="ArialMT"/>
          <w:sz w:val="20"/>
          <w:szCs w:val="20"/>
        </w:rPr>
        <w:t xml:space="preserve"> </w:t>
      </w:r>
      <w:r w:rsidRPr="00D73B96">
        <w:rPr>
          <w:rFonts w:eastAsia="ArialMT"/>
          <w:sz w:val="20"/>
          <w:szCs w:val="20"/>
        </w:rPr>
        <w:t>budowę lub przebudowę jednostek wytwarzania energii elektrycznej i ciepła w wysokosprawnej</w:t>
      </w:r>
      <w:r w:rsidR="006C4387">
        <w:rPr>
          <w:rFonts w:eastAsia="ArialMT"/>
          <w:sz w:val="20"/>
          <w:szCs w:val="20"/>
        </w:rPr>
        <w:t xml:space="preserve"> </w:t>
      </w:r>
      <w:r w:rsidRPr="00D73B96">
        <w:rPr>
          <w:rFonts w:eastAsia="ArialMT"/>
          <w:sz w:val="20"/>
          <w:szCs w:val="20"/>
        </w:rPr>
        <w:t>kogeneracji.</w:t>
      </w:r>
    </w:p>
    <w:p w:rsidR="00702B11" w:rsidRPr="00657899" w:rsidRDefault="00702B11" w:rsidP="00702B11">
      <w:pPr>
        <w:autoSpaceDE w:val="0"/>
        <w:autoSpaceDN w:val="0"/>
        <w:adjustRightInd w:val="0"/>
        <w:spacing w:after="120" w:line="276" w:lineRule="auto"/>
        <w:ind w:left="360"/>
        <w:jc w:val="both"/>
        <w:rPr>
          <w:color w:val="000000" w:themeColor="text1"/>
          <w:sz w:val="20"/>
          <w:szCs w:val="20"/>
        </w:rPr>
      </w:pPr>
      <w:r w:rsidRPr="00657899">
        <w:rPr>
          <w:color w:val="000000" w:themeColor="text1"/>
          <w:sz w:val="20"/>
          <w:szCs w:val="20"/>
        </w:rPr>
        <w:t>Wspieranie przejścia na gospodarkę niskoemisyjną we wszystkich</w:t>
      </w:r>
      <w:r w:rsidR="00657899" w:rsidRPr="00657899">
        <w:rPr>
          <w:color w:val="000000" w:themeColor="text1"/>
          <w:sz w:val="20"/>
          <w:szCs w:val="20"/>
        </w:rPr>
        <w:t xml:space="preserve"> odbywać się będzie we następujących sektorach, podzielonych na działania. </w:t>
      </w:r>
    </w:p>
    <w:p w:rsidR="00702B11" w:rsidRPr="00657899" w:rsidRDefault="00702B11" w:rsidP="00702B11">
      <w:pPr>
        <w:autoSpaceDE w:val="0"/>
        <w:autoSpaceDN w:val="0"/>
        <w:adjustRightInd w:val="0"/>
        <w:spacing w:after="120" w:line="276" w:lineRule="auto"/>
        <w:ind w:left="360"/>
        <w:jc w:val="both"/>
        <w:rPr>
          <w:color w:val="000000" w:themeColor="text1"/>
          <w:sz w:val="20"/>
          <w:szCs w:val="20"/>
        </w:rPr>
      </w:pPr>
      <w:r w:rsidRPr="00657899">
        <w:rPr>
          <w:b/>
          <w:color w:val="000000" w:themeColor="text1"/>
          <w:sz w:val="20"/>
          <w:szCs w:val="20"/>
        </w:rPr>
        <w:t>Działanie 4.1.</w:t>
      </w:r>
      <w:r w:rsidRPr="00657899">
        <w:rPr>
          <w:color w:val="000000" w:themeColor="text1"/>
          <w:sz w:val="20"/>
          <w:szCs w:val="20"/>
        </w:rPr>
        <w:t xml:space="preserve"> Wspieranie wytwarzania i dystrybucji energii pochodzącej ze źródeł odnawialnych Interwencja w PI 4.1 </w:t>
      </w:r>
    </w:p>
    <w:p w:rsidR="00702B11" w:rsidRPr="00657899" w:rsidRDefault="00702B11" w:rsidP="00702B11">
      <w:pPr>
        <w:autoSpaceDE w:val="0"/>
        <w:autoSpaceDN w:val="0"/>
        <w:adjustRightInd w:val="0"/>
        <w:spacing w:after="120" w:line="276" w:lineRule="auto"/>
        <w:ind w:left="360"/>
        <w:jc w:val="both"/>
        <w:rPr>
          <w:color w:val="000000" w:themeColor="text1"/>
          <w:sz w:val="20"/>
          <w:szCs w:val="20"/>
        </w:rPr>
      </w:pPr>
      <w:r w:rsidRPr="00657899">
        <w:rPr>
          <w:color w:val="000000" w:themeColor="text1"/>
          <w:sz w:val="20"/>
          <w:szCs w:val="20"/>
        </w:rPr>
        <w:t xml:space="preserve">przyczyni się do zmniejszenia energochłonności gospodarki, zwiększenia poziomu produkcji energii ze źródeł odnawialnych oraz redukcji emisji CO2 i podporządkowana będzie jednemu z celów Strategii Europa 2020 i jej projektu przewodniego Europa efektywnie korzystająca z zasobów, tj. pakietu klimatyczno-energetycznego 20/20/20. </w:t>
      </w:r>
    </w:p>
    <w:p w:rsidR="00702B11" w:rsidRPr="00657899" w:rsidRDefault="00702B11" w:rsidP="00702B11">
      <w:pPr>
        <w:autoSpaceDE w:val="0"/>
        <w:autoSpaceDN w:val="0"/>
        <w:adjustRightInd w:val="0"/>
        <w:spacing w:after="120" w:line="276" w:lineRule="auto"/>
        <w:ind w:left="708"/>
        <w:jc w:val="both"/>
        <w:rPr>
          <w:color w:val="000000" w:themeColor="text1"/>
          <w:sz w:val="20"/>
          <w:szCs w:val="20"/>
        </w:rPr>
      </w:pPr>
      <w:r w:rsidRPr="00657899">
        <w:rPr>
          <w:color w:val="000000" w:themeColor="text1"/>
          <w:sz w:val="20"/>
          <w:szCs w:val="20"/>
        </w:rPr>
        <w:t xml:space="preserve">Realizacja PI 4.1 przyczyni się do realizacji jednego z celów Umowy Partnerstwa 2014-2020 tj. zmniejszenia emisyjności gospodarki oraz podporządkowana będzie nadrzędnemu celowi określonemu dla Polski w ramach ww. pakietu 36 klimatyczno-energetycznego, zgodnie z którym udział energii ze źródeł odnawialnych w zużyciu energii finalnej ma wynieść 15% w roku 2020. Wybór PI został dokonany również z uwzględnieniem następujących dokumentów strategicznych: Polityka energetyczna Polski do 2030 r. oraz </w:t>
      </w:r>
      <w:proofErr w:type="spellStart"/>
      <w:r w:rsidRPr="00657899">
        <w:rPr>
          <w:color w:val="000000" w:themeColor="text1"/>
          <w:sz w:val="20"/>
          <w:szCs w:val="20"/>
        </w:rPr>
        <w:t>BEiŚ</w:t>
      </w:r>
      <w:proofErr w:type="spellEnd"/>
      <w:r w:rsidRPr="00657899">
        <w:rPr>
          <w:color w:val="000000" w:themeColor="text1"/>
          <w:sz w:val="20"/>
          <w:szCs w:val="20"/>
        </w:rPr>
        <w:t xml:space="preserve">, które jako jeden z ważniejszych kierunków rozwoju kraju określają wzrost znaczenia i rozwój odnawialnych źródeł energii. </w:t>
      </w:r>
    </w:p>
    <w:p w:rsidR="00702B11" w:rsidRPr="00657899" w:rsidRDefault="00702B11" w:rsidP="00702B11">
      <w:pPr>
        <w:autoSpaceDE w:val="0"/>
        <w:autoSpaceDN w:val="0"/>
        <w:adjustRightInd w:val="0"/>
        <w:spacing w:after="120" w:line="276" w:lineRule="auto"/>
        <w:ind w:left="360"/>
        <w:jc w:val="both"/>
        <w:rPr>
          <w:color w:val="000000" w:themeColor="text1"/>
          <w:sz w:val="20"/>
          <w:szCs w:val="20"/>
        </w:rPr>
      </w:pPr>
      <w:r w:rsidRPr="00657899">
        <w:rPr>
          <w:b/>
          <w:color w:val="000000" w:themeColor="text1"/>
          <w:sz w:val="20"/>
          <w:szCs w:val="20"/>
        </w:rPr>
        <w:lastRenderedPageBreak/>
        <w:t>Działanie 4.2.</w:t>
      </w:r>
      <w:r w:rsidRPr="00657899">
        <w:rPr>
          <w:color w:val="000000" w:themeColor="text1"/>
          <w:sz w:val="20"/>
          <w:szCs w:val="20"/>
        </w:rPr>
        <w:t xml:space="preserve"> Promowanie efektywności energetycznej i wykorzystania odnawialnych źródeł energii w przedsiębiorstwach Interwencja w PI 4.2 przyczyni się do osiągnięcia celów Strategii Europa 2020 i jej projektu przewodniego Europa efektywnie korzystająca z zasobów w zakresie ograniczenia zużycia energii i zasobów. Komisja Europejska zaleca wsparcie promowania korzystania z odnawialnych źródeł energii wśród MŚP oraz zwiększenie efektywności energetycznej w tym sektorze. Wzrost inwestycji w przedmiotowym obszarze przyczyni się racjonalizacji wykorzystania energii, obejmującej jej oszczędność oraz dywersyfikację źródeł na rzecz OZE. PI zostanie skierowany do przedsiębiorców. Oszczędność energii i jej efektywne wykorzystanie przez przedsiębiorstwa obniży koszty ich funkcjonowania, poprawiając ich sytuację na rynku. </w:t>
      </w:r>
    </w:p>
    <w:p w:rsidR="00702B11" w:rsidRPr="00657899" w:rsidRDefault="00702B11" w:rsidP="00657899">
      <w:pPr>
        <w:autoSpaceDE w:val="0"/>
        <w:autoSpaceDN w:val="0"/>
        <w:adjustRightInd w:val="0"/>
        <w:spacing w:after="120" w:line="276" w:lineRule="auto"/>
        <w:ind w:left="708"/>
        <w:jc w:val="both"/>
        <w:rPr>
          <w:color w:val="000000" w:themeColor="text1"/>
          <w:sz w:val="20"/>
          <w:szCs w:val="20"/>
        </w:rPr>
      </w:pPr>
      <w:r w:rsidRPr="00657899">
        <w:rPr>
          <w:color w:val="000000" w:themeColor="text1"/>
          <w:sz w:val="20"/>
          <w:szCs w:val="20"/>
        </w:rPr>
        <w:t xml:space="preserve">Realizacja PI 4.2 przyczyni się do realizacji jednego z celów Umowy Partnerstwa 2014-2020 tj. zmniejszenia emisyjności gospodarki. Wybór PI został dokonany również z uwzględnieniem następujących dokumentów strategicznych: Polityka energetyczna Polski do 2030 r. oraz </w:t>
      </w:r>
      <w:proofErr w:type="spellStart"/>
      <w:r w:rsidRPr="00657899">
        <w:rPr>
          <w:color w:val="000000" w:themeColor="text1"/>
          <w:sz w:val="20"/>
          <w:szCs w:val="20"/>
        </w:rPr>
        <w:t>BEiŚ</w:t>
      </w:r>
      <w:proofErr w:type="spellEnd"/>
      <w:r w:rsidRPr="00657899">
        <w:rPr>
          <w:color w:val="000000" w:themeColor="text1"/>
          <w:sz w:val="20"/>
          <w:szCs w:val="20"/>
        </w:rPr>
        <w:t xml:space="preserve">, które jako jeden z ważniejszych kierunków rozwoju kraju określają wzrost znaczenia i rozwój odnawialnych źródeł energii. </w:t>
      </w:r>
    </w:p>
    <w:p w:rsidR="00702B11" w:rsidRPr="00657899" w:rsidRDefault="00702B11" w:rsidP="00657899">
      <w:pPr>
        <w:autoSpaceDE w:val="0"/>
        <w:autoSpaceDN w:val="0"/>
        <w:adjustRightInd w:val="0"/>
        <w:spacing w:after="120" w:line="276" w:lineRule="auto"/>
        <w:ind w:left="708"/>
        <w:jc w:val="both"/>
        <w:rPr>
          <w:color w:val="000000" w:themeColor="text1"/>
          <w:sz w:val="20"/>
          <w:szCs w:val="20"/>
        </w:rPr>
      </w:pPr>
      <w:r w:rsidRPr="00657899">
        <w:rPr>
          <w:color w:val="000000" w:themeColor="text1"/>
          <w:sz w:val="20"/>
          <w:szCs w:val="20"/>
        </w:rPr>
        <w:t xml:space="preserve">Zgodnie ze SRW 2020 wsparcie rozwoju sektora odnawialnych źródeł energii stanowi jedno z działań przyczyniających się do wzrostu innowacyjności i konkurencyjności gospodarki regionu. </w:t>
      </w:r>
    </w:p>
    <w:p w:rsidR="00657899" w:rsidRPr="00657899" w:rsidRDefault="00702B11" w:rsidP="00702B11">
      <w:pPr>
        <w:autoSpaceDE w:val="0"/>
        <w:autoSpaceDN w:val="0"/>
        <w:adjustRightInd w:val="0"/>
        <w:spacing w:after="120" w:line="276" w:lineRule="auto"/>
        <w:ind w:left="360"/>
        <w:jc w:val="both"/>
        <w:rPr>
          <w:color w:val="000000" w:themeColor="text1"/>
          <w:sz w:val="20"/>
          <w:szCs w:val="20"/>
        </w:rPr>
      </w:pPr>
      <w:r w:rsidRPr="00657899">
        <w:rPr>
          <w:b/>
          <w:color w:val="000000" w:themeColor="text1"/>
          <w:sz w:val="20"/>
          <w:szCs w:val="20"/>
        </w:rPr>
        <w:t>Działanie 4.3.</w:t>
      </w:r>
      <w:r w:rsidRPr="00657899">
        <w:rPr>
          <w:color w:val="000000" w:themeColor="text1"/>
          <w:sz w:val="20"/>
          <w:szCs w:val="20"/>
        </w:rPr>
        <w:t xml:space="preserve"> Wspieranie efektywności energetycznej, inteligentnego zarządzania energią i wykorzystania odnawialnych źródeł energii w infrastrukturze publicznej, w tym w budynkach publicznych, i w sektorze mieszkaniowym Interwencja w PI 4.3 przyczyni się do osiągnięcia celów Strategii Europa 2020 i jej projektu przewodniego Europa efektywnie korzystająca z zasobów w zakresie ograniczenia zużycia energii. Zmniejszenie ilości zużywanej energii w sektorze budynków publicznych i mieszkalnych przyczyni się do ograniczenia niskiej emisji na danych obszarach. KE w PP zaleca przejście na energooszczędną gospodarkę niskoemisyjną m.in. poprzez wspieranie gruntownej modernizacji energetycznej budynków. </w:t>
      </w:r>
    </w:p>
    <w:p w:rsidR="00657899" w:rsidRPr="00657899" w:rsidRDefault="00702B11" w:rsidP="00657899">
      <w:pPr>
        <w:autoSpaceDE w:val="0"/>
        <w:autoSpaceDN w:val="0"/>
        <w:adjustRightInd w:val="0"/>
        <w:spacing w:after="120" w:line="276" w:lineRule="auto"/>
        <w:ind w:left="708"/>
        <w:jc w:val="both"/>
        <w:rPr>
          <w:color w:val="000000" w:themeColor="text1"/>
          <w:sz w:val="20"/>
          <w:szCs w:val="20"/>
        </w:rPr>
      </w:pPr>
      <w:r w:rsidRPr="00657899">
        <w:rPr>
          <w:color w:val="000000" w:themeColor="text1"/>
          <w:sz w:val="20"/>
          <w:szCs w:val="20"/>
        </w:rPr>
        <w:t xml:space="preserve">Realizacja PI 4.3 przyczyni się do realizacji jednego z celów Umowy Partnerstwa 2014-2020 tj. zmniejszenia emisyjności gospodarki oraz celu określonego w </w:t>
      </w:r>
      <w:proofErr w:type="spellStart"/>
      <w:r w:rsidRPr="00657899">
        <w:rPr>
          <w:color w:val="000000" w:themeColor="text1"/>
          <w:sz w:val="20"/>
          <w:szCs w:val="20"/>
        </w:rPr>
        <w:t>BEiŚ</w:t>
      </w:r>
      <w:proofErr w:type="spellEnd"/>
      <w:r w:rsidRPr="00657899">
        <w:rPr>
          <w:color w:val="000000" w:themeColor="text1"/>
          <w:sz w:val="20"/>
          <w:szCs w:val="20"/>
        </w:rPr>
        <w:t xml:space="preserve">, tj. poprawy efektywności energetycznej, a tym samym zmniejszenia emisyjności gospodarki. </w:t>
      </w:r>
    </w:p>
    <w:p w:rsidR="00657899" w:rsidRPr="00657899" w:rsidRDefault="00657899" w:rsidP="00657899">
      <w:pPr>
        <w:autoSpaceDE w:val="0"/>
        <w:autoSpaceDN w:val="0"/>
        <w:adjustRightInd w:val="0"/>
        <w:spacing w:after="120" w:line="276" w:lineRule="auto"/>
        <w:ind w:left="360"/>
        <w:jc w:val="both"/>
        <w:rPr>
          <w:color w:val="000000" w:themeColor="text1"/>
          <w:sz w:val="20"/>
          <w:szCs w:val="20"/>
        </w:rPr>
      </w:pPr>
      <w:r w:rsidRPr="00657899">
        <w:rPr>
          <w:b/>
          <w:color w:val="000000" w:themeColor="text1"/>
          <w:sz w:val="20"/>
          <w:szCs w:val="20"/>
        </w:rPr>
        <w:t xml:space="preserve">Działanie </w:t>
      </w:r>
      <w:r w:rsidR="00702B11" w:rsidRPr="00657899">
        <w:rPr>
          <w:b/>
          <w:color w:val="000000" w:themeColor="text1"/>
          <w:sz w:val="20"/>
          <w:szCs w:val="20"/>
        </w:rPr>
        <w:t>4.5.</w:t>
      </w:r>
      <w:r w:rsidR="00702B11" w:rsidRPr="00657899">
        <w:rPr>
          <w:color w:val="000000" w:themeColor="text1"/>
          <w:sz w:val="20"/>
          <w:szCs w:val="20"/>
        </w:rPr>
        <w:t xml:space="preserve"> Promowanie strategii niskoemisyjnych dla wszystkich rodzajów terytoriów, w szczególności dla obszarów Interwencja w PI 4.5 przyczyni się do osiągnięcia celów Strategii Europa 2020 i jej projektu przewodniego Europa efektywnie korzystająca z zasobów w zakresie modernizacji sektora transportu 37 miejskich, w tym wspieranie zrównoważonej multimodalnej mobilności miejskiej i działań adaptacyjnych mających oddziaływanie łagodzące na zmiany klimatu i ograniczeniu jego udziału w emisji substancji do atmosfery. Transport w obrębie aglomeracji jest przede wszystkim głównym źródłem emisji zanieczyszczeń powietrza, z drugiej strony charakteryzuje się dużym potencjałem, jeśli chodzi o ograniczenie emisji gazów cieplarnianych i innych zanieczyszczeń powietrza oraz integrację wewnętrzną miast i ich obszarów </w:t>
      </w:r>
      <w:r w:rsidR="00702B11" w:rsidRPr="00657899">
        <w:rPr>
          <w:color w:val="000000" w:themeColor="text1"/>
          <w:sz w:val="20"/>
          <w:szCs w:val="20"/>
        </w:rPr>
        <w:lastRenderedPageBreak/>
        <w:t xml:space="preserve">funkcjonalnych. Zwiększenie znaczenia transportu publicznego przy jednoczesnym ograniczeniu znaczenia transportu indywidualnego przyczyni się do ograniczenia emisji szkodliwych substancji do środowiska. KE w PP zaleca zwiększenie energii odnawialnej oraz biopaliw w transporcie oraz podejmowanie działań w ośrodkach miejskich przyczyniających się do poprawy jakości powietrza. </w:t>
      </w:r>
    </w:p>
    <w:p w:rsidR="00702B11" w:rsidRPr="00657899" w:rsidRDefault="00702B11" w:rsidP="00657899">
      <w:pPr>
        <w:autoSpaceDE w:val="0"/>
        <w:autoSpaceDN w:val="0"/>
        <w:adjustRightInd w:val="0"/>
        <w:spacing w:after="120" w:line="276" w:lineRule="auto"/>
        <w:ind w:left="708"/>
        <w:jc w:val="both"/>
        <w:rPr>
          <w:color w:val="000000" w:themeColor="text1"/>
          <w:sz w:val="20"/>
          <w:szCs w:val="20"/>
        </w:rPr>
      </w:pPr>
      <w:r w:rsidRPr="00657899">
        <w:rPr>
          <w:color w:val="000000" w:themeColor="text1"/>
          <w:sz w:val="20"/>
          <w:szCs w:val="20"/>
        </w:rPr>
        <w:t>Poprzez wsparcie interwencji wpisujących się w plany gospodarki niskoemisyjnej, realizacja PI 4.</w:t>
      </w:r>
      <w:r w:rsidR="00657899" w:rsidRPr="00657899">
        <w:rPr>
          <w:color w:val="000000" w:themeColor="text1"/>
          <w:sz w:val="20"/>
          <w:szCs w:val="20"/>
        </w:rPr>
        <w:t>5</w:t>
      </w:r>
      <w:r w:rsidRPr="00657899">
        <w:rPr>
          <w:color w:val="000000" w:themeColor="text1"/>
          <w:sz w:val="20"/>
          <w:szCs w:val="20"/>
        </w:rPr>
        <w:t xml:space="preserve"> przyczyni się do osiągnięcia jednego z celów Umowy Partnerstwa 2014-2020, tj. zmniejszenia emisyjności gospodarki.</w:t>
      </w:r>
    </w:p>
    <w:p w:rsidR="00702B11" w:rsidRPr="00D73B96" w:rsidRDefault="00702B11" w:rsidP="006C4387">
      <w:pPr>
        <w:autoSpaceDE w:val="0"/>
        <w:autoSpaceDN w:val="0"/>
        <w:adjustRightInd w:val="0"/>
        <w:spacing w:after="120" w:line="276" w:lineRule="auto"/>
        <w:ind w:left="708"/>
        <w:jc w:val="both"/>
        <w:rPr>
          <w:rFonts w:eastAsia="ArialMT"/>
          <w:sz w:val="20"/>
          <w:szCs w:val="20"/>
        </w:rPr>
      </w:pPr>
    </w:p>
    <w:p w:rsidR="00D73B96" w:rsidRPr="006C4387" w:rsidRDefault="00D73B96" w:rsidP="00303BB2">
      <w:pPr>
        <w:pStyle w:val="Akapitzlist"/>
        <w:numPr>
          <w:ilvl w:val="0"/>
          <w:numId w:val="2"/>
        </w:numPr>
        <w:autoSpaceDE w:val="0"/>
        <w:autoSpaceDN w:val="0"/>
        <w:adjustRightInd w:val="0"/>
        <w:spacing w:after="120" w:line="276" w:lineRule="auto"/>
        <w:jc w:val="both"/>
        <w:rPr>
          <w:b/>
          <w:bCs/>
          <w:iCs/>
          <w:color w:val="000000" w:themeColor="text1"/>
          <w:sz w:val="20"/>
          <w:szCs w:val="20"/>
        </w:rPr>
      </w:pPr>
      <w:r w:rsidRPr="006C4387">
        <w:rPr>
          <w:b/>
          <w:bCs/>
          <w:iCs/>
          <w:color w:val="000000" w:themeColor="text1"/>
          <w:sz w:val="20"/>
          <w:szCs w:val="20"/>
        </w:rPr>
        <w:t>Fundusz Termomodernizacji i Remontów</w:t>
      </w:r>
    </w:p>
    <w:p w:rsidR="00D73B96" w:rsidRPr="00D73B96" w:rsidRDefault="00D73B96" w:rsidP="006C4387">
      <w:pPr>
        <w:autoSpaceDE w:val="0"/>
        <w:autoSpaceDN w:val="0"/>
        <w:adjustRightInd w:val="0"/>
        <w:spacing w:after="120" w:line="276" w:lineRule="auto"/>
        <w:ind w:left="708"/>
        <w:jc w:val="both"/>
        <w:rPr>
          <w:rFonts w:eastAsia="ArialMT"/>
          <w:color w:val="000000"/>
          <w:sz w:val="20"/>
          <w:szCs w:val="20"/>
        </w:rPr>
      </w:pPr>
      <w:r w:rsidRPr="00D73B96">
        <w:rPr>
          <w:rFonts w:eastAsia="ArialMT"/>
          <w:color w:val="000000"/>
          <w:sz w:val="20"/>
          <w:szCs w:val="20"/>
        </w:rPr>
        <w:t xml:space="preserve">Zasady otrzymania dofinansowania ze środków Funduszu Termomodernizacji i Remontów określa ustawa z dnia 21 listopada 2008 r. </w:t>
      </w:r>
      <w:r w:rsidRPr="00D73B96">
        <w:rPr>
          <w:i/>
          <w:iCs/>
          <w:color w:val="000000"/>
          <w:sz w:val="20"/>
          <w:szCs w:val="20"/>
        </w:rPr>
        <w:t xml:space="preserve">o wspieraniu termomodernizacji i remontów </w:t>
      </w:r>
      <w:r w:rsidRPr="00D73B96">
        <w:rPr>
          <w:rFonts w:eastAsia="ArialMT"/>
          <w:color w:val="000000"/>
          <w:sz w:val="20"/>
          <w:szCs w:val="20"/>
        </w:rPr>
        <w:t>(Dz. U. z 2014 r. poz. 712).</w:t>
      </w:r>
    </w:p>
    <w:p w:rsidR="00D73B96" w:rsidRPr="00D73B96" w:rsidRDefault="00D73B96" w:rsidP="006C4387">
      <w:pPr>
        <w:autoSpaceDE w:val="0"/>
        <w:autoSpaceDN w:val="0"/>
        <w:adjustRightInd w:val="0"/>
        <w:spacing w:after="120" w:line="276" w:lineRule="auto"/>
        <w:ind w:left="708"/>
        <w:jc w:val="both"/>
        <w:rPr>
          <w:rFonts w:eastAsia="ArialMT"/>
          <w:sz w:val="20"/>
          <w:szCs w:val="20"/>
        </w:rPr>
      </w:pPr>
      <w:r w:rsidRPr="00D73B96">
        <w:rPr>
          <w:rFonts w:eastAsia="ArialMT"/>
          <w:color w:val="000000"/>
          <w:sz w:val="20"/>
          <w:szCs w:val="20"/>
        </w:rPr>
        <w:t xml:space="preserve">Podstawowym celem jest finansowa pomoc Inwestorowi realizującemu przedsięwzięcie termomodernizacyjne, remontowe lub remont istniejącego budynku mieszkalnego jednorodzinnego z udziałem kredytów zaciąganych w bankach komercyjnych. Pomoc ta zwana odpowiednio: „premią termomodernizacyjną", „premią remontową", „premią kompensacyjną" stanowi spłatę części zaciągniętego kredytu na realizację przedsięwzięcia lub remontu. </w:t>
      </w:r>
      <w:r w:rsidRPr="00D73B96">
        <w:rPr>
          <w:rFonts w:eastAsia="ArialMT"/>
          <w:sz w:val="20"/>
          <w:szCs w:val="20"/>
        </w:rPr>
        <w:t xml:space="preserve">Szczegółowy sposób dofinansowania w ramach każdej z premii określa ustawa z dnia 21 listopada 2008 r. </w:t>
      </w:r>
      <w:r w:rsidRPr="00D73B96">
        <w:rPr>
          <w:rFonts w:eastAsia="ArialMT"/>
          <w:i/>
          <w:iCs/>
          <w:sz w:val="20"/>
          <w:szCs w:val="20"/>
        </w:rPr>
        <w:t>o wspieraniu termomodernizacji i remontów</w:t>
      </w:r>
      <w:r w:rsidRPr="00D73B96">
        <w:rPr>
          <w:rFonts w:eastAsia="ArialMT"/>
          <w:sz w:val="20"/>
          <w:szCs w:val="20"/>
        </w:rPr>
        <w:t>. Premia termomodernizacyjna przysługuje w przypadku realizacji przedsięwzięć, których celem jest:</w:t>
      </w:r>
    </w:p>
    <w:p w:rsidR="00D73B96" w:rsidRPr="00D73B96" w:rsidRDefault="00D73B96" w:rsidP="00303BB2">
      <w:pPr>
        <w:pStyle w:val="Akapitzlist"/>
        <w:numPr>
          <w:ilvl w:val="0"/>
          <w:numId w:val="8"/>
        </w:numPr>
        <w:autoSpaceDE w:val="0"/>
        <w:autoSpaceDN w:val="0"/>
        <w:adjustRightInd w:val="0"/>
        <w:spacing w:after="120" w:line="276" w:lineRule="auto"/>
        <w:jc w:val="both"/>
        <w:rPr>
          <w:sz w:val="20"/>
          <w:szCs w:val="20"/>
        </w:rPr>
      </w:pPr>
      <w:r w:rsidRPr="00D73B96">
        <w:rPr>
          <w:rFonts w:eastAsia="ArialMT"/>
          <w:sz w:val="20"/>
          <w:szCs w:val="20"/>
        </w:rPr>
        <w:t>zmniejszenie zużycia energii na potrzeby ogrzewania i podgrzewania wody użytkowej w budynkach mieszkalnych, zamieszkania zbiorowego oraz budynkach stanowiących własność jednostek samorządu terytorialnego, które służą do wykonywania przez nie zadań publicznych,</w:t>
      </w:r>
    </w:p>
    <w:p w:rsidR="00D73B96" w:rsidRPr="00D73B96" w:rsidRDefault="00D73B96" w:rsidP="00303BB2">
      <w:pPr>
        <w:pStyle w:val="Akapitzlist"/>
        <w:numPr>
          <w:ilvl w:val="0"/>
          <w:numId w:val="8"/>
        </w:numPr>
        <w:autoSpaceDE w:val="0"/>
        <w:autoSpaceDN w:val="0"/>
        <w:adjustRightInd w:val="0"/>
        <w:spacing w:after="120" w:line="276" w:lineRule="auto"/>
        <w:jc w:val="both"/>
        <w:rPr>
          <w:sz w:val="20"/>
          <w:szCs w:val="20"/>
        </w:rPr>
      </w:pPr>
      <w:r w:rsidRPr="00D73B96">
        <w:rPr>
          <w:rFonts w:eastAsia="ArialMT"/>
          <w:sz w:val="20"/>
          <w:szCs w:val="20"/>
        </w:rPr>
        <w:t>zmniejszenie kosztów pozyskania ciepła dostarczanego do ww. budynków - w wyniku wykonania przyłącza technicznego do scentralizowanego źródła ciepła w związku z likwidacją lokalnego źródła ciepła,</w:t>
      </w:r>
    </w:p>
    <w:p w:rsidR="00D73B96" w:rsidRPr="00D73B96" w:rsidRDefault="00D73B96" w:rsidP="00303BB2">
      <w:pPr>
        <w:pStyle w:val="Akapitzlist"/>
        <w:numPr>
          <w:ilvl w:val="0"/>
          <w:numId w:val="8"/>
        </w:numPr>
        <w:autoSpaceDE w:val="0"/>
        <w:autoSpaceDN w:val="0"/>
        <w:adjustRightInd w:val="0"/>
        <w:spacing w:after="120" w:line="276" w:lineRule="auto"/>
        <w:jc w:val="both"/>
        <w:rPr>
          <w:rFonts w:eastAsia="ArialMT"/>
          <w:sz w:val="20"/>
          <w:szCs w:val="20"/>
        </w:rPr>
      </w:pPr>
      <w:r w:rsidRPr="00D73B96">
        <w:rPr>
          <w:rFonts w:eastAsia="ArialMT"/>
          <w:sz w:val="20"/>
          <w:szCs w:val="20"/>
        </w:rPr>
        <w:t>zmniejszenie strat energii pierwotnej w lokalnych sieciach ciepłowniczych oraz zasilających je lokalnych źródłach ciepła,</w:t>
      </w:r>
    </w:p>
    <w:p w:rsidR="00D73B96" w:rsidRPr="00D73B96" w:rsidRDefault="00D73B96" w:rsidP="00303BB2">
      <w:pPr>
        <w:pStyle w:val="Akapitzlist"/>
        <w:numPr>
          <w:ilvl w:val="0"/>
          <w:numId w:val="8"/>
        </w:numPr>
        <w:autoSpaceDE w:val="0"/>
        <w:autoSpaceDN w:val="0"/>
        <w:adjustRightInd w:val="0"/>
        <w:spacing w:after="120" w:line="276" w:lineRule="auto"/>
        <w:jc w:val="both"/>
        <w:rPr>
          <w:sz w:val="20"/>
          <w:szCs w:val="20"/>
        </w:rPr>
      </w:pPr>
      <w:r w:rsidRPr="00D73B96">
        <w:rPr>
          <w:rFonts w:eastAsia="ArialMT"/>
          <w:sz w:val="20"/>
          <w:szCs w:val="20"/>
        </w:rPr>
        <w:t>całkowita lub częściowa zamiana źródeł energii na źródła odnawialne lub zastosowanie wysokosprawnej kogeneracji - z obowiązkiem uzyskania określonych w ustawie oszczędności w zużyciu energii.</w:t>
      </w:r>
    </w:p>
    <w:p w:rsidR="00D73B96" w:rsidRPr="00D73B96" w:rsidRDefault="00D73B96" w:rsidP="006C4387">
      <w:pPr>
        <w:autoSpaceDE w:val="0"/>
        <w:autoSpaceDN w:val="0"/>
        <w:adjustRightInd w:val="0"/>
        <w:spacing w:after="120" w:line="276" w:lineRule="auto"/>
        <w:ind w:left="708"/>
        <w:jc w:val="both"/>
        <w:rPr>
          <w:rFonts w:eastAsia="ArialMT"/>
          <w:sz w:val="20"/>
          <w:szCs w:val="20"/>
        </w:rPr>
      </w:pPr>
      <w:r w:rsidRPr="00D73B96">
        <w:rPr>
          <w:rFonts w:eastAsia="ArialMT"/>
          <w:b/>
          <w:sz w:val="20"/>
          <w:szCs w:val="20"/>
        </w:rPr>
        <w:t>Cel:</w:t>
      </w:r>
      <w:r w:rsidRPr="00D73B96">
        <w:rPr>
          <w:rFonts w:eastAsia="ArialMT"/>
          <w:sz w:val="20"/>
          <w:szCs w:val="20"/>
        </w:rPr>
        <w:t xml:space="preserve"> Celem programu jest pomoc finansowa dla inwestorów realizujących przedsięwzięcia termomodernizacyjne, remontowe lub remonty budynków mieszkalnych jednorodzinnych z udziałem kredytów zaciąganych w bankach komercyjnych (premia termomodernizacyjna, remontowa, kompensacyjna).</w:t>
      </w:r>
    </w:p>
    <w:p w:rsidR="00D73B96" w:rsidRPr="00D73B96" w:rsidRDefault="00D73B96" w:rsidP="006C4387">
      <w:pPr>
        <w:autoSpaceDE w:val="0"/>
        <w:autoSpaceDN w:val="0"/>
        <w:adjustRightInd w:val="0"/>
        <w:spacing w:after="120" w:line="276" w:lineRule="auto"/>
        <w:ind w:left="708"/>
        <w:jc w:val="both"/>
        <w:rPr>
          <w:rFonts w:eastAsia="ArialMT"/>
          <w:sz w:val="20"/>
          <w:szCs w:val="20"/>
        </w:rPr>
      </w:pPr>
      <w:r w:rsidRPr="00D73B96">
        <w:rPr>
          <w:rFonts w:eastAsia="ArialMT"/>
          <w:b/>
          <w:sz w:val="20"/>
          <w:szCs w:val="20"/>
        </w:rPr>
        <w:lastRenderedPageBreak/>
        <w:t xml:space="preserve">Budżet </w:t>
      </w:r>
      <w:r w:rsidRPr="00D73B96">
        <w:rPr>
          <w:rFonts w:eastAsia="ArialMT"/>
          <w:sz w:val="20"/>
          <w:szCs w:val="20"/>
        </w:rPr>
        <w:t>: Na dzień 22 grudnia 2014 r. BGK posiadał w ramach limitów dla premii termomodernizacyjnej – 191 800 tys., dla premii remontowej – 46 500 tys. zł, dla premii kompensacyjnej – 16 100 tys. zł.</w:t>
      </w:r>
    </w:p>
    <w:p w:rsidR="00D73B96" w:rsidRPr="00D73B96" w:rsidRDefault="00D73B96" w:rsidP="006C4387">
      <w:pPr>
        <w:autoSpaceDE w:val="0"/>
        <w:autoSpaceDN w:val="0"/>
        <w:adjustRightInd w:val="0"/>
        <w:spacing w:after="120" w:line="276" w:lineRule="auto"/>
        <w:ind w:firstLine="708"/>
        <w:jc w:val="both"/>
        <w:rPr>
          <w:rFonts w:eastAsia="ArialMT"/>
          <w:sz w:val="20"/>
          <w:szCs w:val="20"/>
        </w:rPr>
      </w:pPr>
      <w:r w:rsidRPr="00D73B96">
        <w:rPr>
          <w:rFonts w:eastAsia="ArialMT"/>
          <w:sz w:val="20"/>
          <w:szCs w:val="20"/>
        </w:rPr>
        <w:t>Źródła finansowania:</w:t>
      </w:r>
    </w:p>
    <w:p w:rsidR="00D73B96" w:rsidRPr="006C4387" w:rsidRDefault="00D73B96" w:rsidP="00303BB2">
      <w:pPr>
        <w:pStyle w:val="Akapitzlist"/>
        <w:numPr>
          <w:ilvl w:val="0"/>
          <w:numId w:val="18"/>
        </w:numPr>
        <w:autoSpaceDE w:val="0"/>
        <w:autoSpaceDN w:val="0"/>
        <w:adjustRightInd w:val="0"/>
        <w:spacing w:after="120" w:line="276" w:lineRule="auto"/>
        <w:jc w:val="both"/>
        <w:rPr>
          <w:rFonts w:eastAsia="ArialMT"/>
          <w:sz w:val="20"/>
          <w:szCs w:val="20"/>
        </w:rPr>
      </w:pPr>
      <w:r w:rsidRPr="006C4387">
        <w:rPr>
          <w:rFonts w:eastAsia="ArialMT"/>
          <w:sz w:val="20"/>
          <w:szCs w:val="20"/>
        </w:rPr>
        <w:t>środki przekazywane z budżetu państwa w wysokości określonej corocznie w ustawie budżetowej;</w:t>
      </w:r>
    </w:p>
    <w:p w:rsidR="00D73B96" w:rsidRPr="006C4387" w:rsidRDefault="00D73B96" w:rsidP="00303BB2">
      <w:pPr>
        <w:pStyle w:val="Akapitzlist"/>
        <w:numPr>
          <w:ilvl w:val="0"/>
          <w:numId w:val="18"/>
        </w:numPr>
        <w:autoSpaceDE w:val="0"/>
        <w:autoSpaceDN w:val="0"/>
        <w:adjustRightInd w:val="0"/>
        <w:spacing w:after="120" w:line="276" w:lineRule="auto"/>
        <w:jc w:val="both"/>
        <w:rPr>
          <w:rFonts w:eastAsia="ArialMT"/>
          <w:sz w:val="20"/>
          <w:szCs w:val="20"/>
        </w:rPr>
      </w:pPr>
      <w:r w:rsidRPr="006C4387">
        <w:rPr>
          <w:rFonts w:eastAsia="ArialMT"/>
          <w:sz w:val="20"/>
          <w:szCs w:val="20"/>
        </w:rPr>
        <w:t>odsetki od lokat środków funduszu w bankach;</w:t>
      </w:r>
    </w:p>
    <w:p w:rsidR="00D73B96" w:rsidRPr="006C4387" w:rsidRDefault="00D73B96" w:rsidP="00303BB2">
      <w:pPr>
        <w:pStyle w:val="Akapitzlist"/>
        <w:numPr>
          <w:ilvl w:val="0"/>
          <w:numId w:val="18"/>
        </w:numPr>
        <w:autoSpaceDE w:val="0"/>
        <w:autoSpaceDN w:val="0"/>
        <w:adjustRightInd w:val="0"/>
        <w:spacing w:after="120" w:line="276" w:lineRule="auto"/>
        <w:jc w:val="both"/>
        <w:rPr>
          <w:rFonts w:eastAsia="ArialMT"/>
          <w:sz w:val="20"/>
          <w:szCs w:val="20"/>
        </w:rPr>
      </w:pPr>
      <w:r w:rsidRPr="006C4387">
        <w:rPr>
          <w:rFonts w:eastAsia="ArialMT"/>
          <w:sz w:val="20"/>
          <w:szCs w:val="20"/>
        </w:rPr>
        <w:t>wpływy z inwestycji środków funduszu w papiery wartościowe;</w:t>
      </w:r>
    </w:p>
    <w:p w:rsidR="00D73B96" w:rsidRPr="006C4387" w:rsidRDefault="00D73B96" w:rsidP="00303BB2">
      <w:pPr>
        <w:pStyle w:val="Akapitzlist"/>
        <w:numPr>
          <w:ilvl w:val="0"/>
          <w:numId w:val="18"/>
        </w:numPr>
        <w:autoSpaceDE w:val="0"/>
        <w:autoSpaceDN w:val="0"/>
        <w:adjustRightInd w:val="0"/>
        <w:spacing w:after="120" w:line="276" w:lineRule="auto"/>
        <w:jc w:val="both"/>
        <w:rPr>
          <w:rFonts w:eastAsia="ArialMT"/>
          <w:sz w:val="20"/>
          <w:szCs w:val="20"/>
        </w:rPr>
      </w:pPr>
      <w:r w:rsidRPr="006C4387">
        <w:rPr>
          <w:rFonts w:eastAsia="ArialMT"/>
          <w:sz w:val="20"/>
          <w:szCs w:val="20"/>
        </w:rPr>
        <w:t>darowizny i zapisy;</w:t>
      </w:r>
    </w:p>
    <w:p w:rsidR="00D73B96" w:rsidRPr="006C4387" w:rsidRDefault="00D73B96" w:rsidP="00303BB2">
      <w:pPr>
        <w:pStyle w:val="Akapitzlist"/>
        <w:numPr>
          <w:ilvl w:val="0"/>
          <w:numId w:val="18"/>
        </w:numPr>
        <w:autoSpaceDE w:val="0"/>
        <w:autoSpaceDN w:val="0"/>
        <w:adjustRightInd w:val="0"/>
        <w:spacing w:after="120" w:line="276" w:lineRule="auto"/>
        <w:jc w:val="both"/>
        <w:rPr>
          <w:rFonts w:eastAsia="ArialMT"/>
          <w:sz w:val="20"/>
          <w:szCs w:val="20"/>
        </w:rPr>
      </w:pPr>
      <w:r w:rsidRPr="006C4387">
        <w:rPr>
          <w:rFonts w:eastAsia="ArialMT"/>
          <w:sz w:val="20"/>
          <w:szCs w:val="20"/>
        </w:rPr>
        <w:t>inne wpływy.</w:t>
      </w:r>
    </w:p>
    <w:p w:rsidR="00D73B96" w:rsidRPr="00D73B96" w:rsidRDefault="00D73B96" w:rsidP="006C4387">
      <w:pPr>
        <w:autoSpaceDE w:val="0"/>
        <w:autoSpaceDN w:val="0"/>
        <w:adjustRightInd w:val="0"/>
        <w:spacing w:after="120" w:line="276" w:lineRule="auto"/>
        <w:ind w:left="708"/>
        <w:jc w:val="both"/>
        <w:rPr>
          <w:rFonts w:eastAsia="ArialMT"/>
          <w:sz w:val="20"/>
          <w:szCs w:val="20"/>
        </w:rPr>
      </w:pPr>
      <w:r w:rsidRPr="00D73B96">
        <w:rPr>
          <w:rFonts w:eastAsia="ArialMT"/>
          <w:b/>
          <w:sz w:val="20"/>
          <w:szCs w:val="20"/>
        </w:rPr>
        <w:t>Czas:</w:t>
      </w:r>
      <w:r w:rsidRPr="00D73B96">
        <w:rPr>
          <w:rFonts w:eastAsia="ArialMT"/>
          <w:sz w:val="20"/>
          <w:szCs w:val="20"/>
        </w:rPr>
        <w:t xml:space="preserve"> Początek: 2009 r. Koniec: fundusz ma charakter systemowy i obowiązujące przepisy nie regulują czasu zakończenia jego działania.</w:t>
      </w:r>
    </w:p>
    <w:p w:rsidR="00D73B96" w:rsidRPr="00D73B96" w:rsidRDefault="00D73B96" w:rsidP="004E3AA7">
      <w:pPr>
        <w:autoSpaceDE w:val="0"/>
        <w:autoSpaceDN w:val="0"/>
        <w:adjustRightInd w:val="0"/>
        <w:spacing w:after="120" w:line="276" w:lineRule="auto"/>
        <w:ind w:left="708"/>
        <w:jc w:val="both"/>
        <w:rPr>
          <w:rFonts w:eastAsia="ArialMT"/>
          <w:sz w:val="20"/>
          <w:szCs w:val="20"/>
        </w:rPr>
      </w:pPr>
      <w:r w:rsidRPr="00D73B96">
        <w:rPr>
          <w:rFonts w:eastAsia="Arial-BoldMT"/>
          <w:b/>
          <w:bCs/>
          <w:sz w:val="20"/>
          <w:szCs w:val="20"/>
        </w:rPr>
        <w:t>Beneficjenci :</w:t>
      </w:r>
      <w:r w:rsidRPr="00D73B96">
        <w:rPr>
          <w:rFonts w:eastAsia="ArialMT"/>
          <w:sz w:val="20"/>
          <w:szCs w:val="20"/>
        </w:rPr>
        <w:t xml:space="preserve"> O premię termomodernizacyjną mogą się ubiegać właściciele lub zarządcy:</w:t>
      </w:r>
    </w:p>
    <w:p w:rsidR="00D73B96" w:rsidRPr="00D73B96" w:rsidRDefault="00D73B96" w:rsidP="00303BB2">
      <w:pPr>
        <w:pStyle w:val="Akapitzlist"/>
        <w:numPr>
          <w:ilvl w:val="0"/>
          <w:numId w:val="17"/>
        </w:numPr>
        <w:autoSpaceDE w:val="0"/>
        <w:autoSpaceDN w:val="0"/>
        <w:adjustRightInd w:val="0"/>
        <w:spacing w:after="120" w:line="276" w:lineRule="auto"/>
        <w:jc w:val="both"/>
        <w:rPr>
          <w:rFonts w:eastAsia="ArialMT"/>
          <w:sz w:val="20"/>
          <w:szCs w:val="20"/>
        </w:rPr>
      </w:pPr>
      <w:r w:rsidRPr="00D73B96">
        <w:rPr>
          <w:rFonts w:eastAsia="ArialMT"/>
          <w:sz w:val="20"/>
          <w:szCs w:val="20"/>
        </w:rPr>
        <w:t>budynków mieszkalnych;</w:t>
      </w:r>
    </w:p>
    <w:p w:rsidR="00D73B96" w:rsidRPr="00D73B96" w:rsidRDefault="00D73B96" w:rsidP="00303BB2">
      <w:pPr>
        <w:pStyle w:val="Akapitzlist"/>
        <w:numPr>
          <w:ilvl w:val="0"/>
          <w:numId w:val="17"/>
        </w:numPr>
        <w:autoSpaceDE w:val="0"/>
        <w:autoSpaceDN w:val="0"/>
        <w:adjustRightInd w:val="0"/>
        <w:spacing w:after="120" w:line="276" w:lineRule="auto"/>
        <w:jc w:val="both"/>
        <w:rPr>
          <w:rFonts w:eastAsia="ArialMT"/>
          <w:sz w:val="20"/>
          <w:szCs w:val="20"/>
        </w:rPr>
      </w:pPr>
      <w:r w:rsidRPr="00D73B96">
        <w:rPr>
          <w:rFonts w:eastAsia="ArialMT"/>
          <w:sz w:val="20"/>
          <w:szCs w:val="20"/>
        </w:rPr>
        <w:t>budynków zamieszkania zbiorowego;</w:t>
      </w:r>
    </w:p>
    <w:p w:rsidR="00D73B96" w:rsidRPr="00D73B96" w:rsidRDefault="00D73B96" w:rsidP="00303BB2">
      <w:pPr>
        <w:pStyle w:val="Akapitzlist"/>
        <w:numPr>
          <w:ilvl w:val="0"/>
          <w:numId w:val="17"/>
        </w:numPr>
        <w:autoSpaceDE w:val="0"/>
        <w:autoSpaceDN w:val="0"/>
        <w:adjustRightInd w:val="0"/>
        <w:spacing w:after="120" w:line="276" w:lineRule="auto"/>
        <w:jc w:val="both"/>
        <w:rPr>
          <w:rFonts w:eastAsia="ArialMT"/>
          <w:sz w:val="20"/>
          <w:szCs w:val="20"/>
        </w:rPr>
      </w:pPr>
      <w:r w:rsidRPr="00D73B96">
        <w:rPr>
          <w:rFonts w:eastAsia="ArialMT"/>
          <w:sz w:val="20"/>
          <w:szCs w:val="20"/>
        </w:rPr>
        <w:t>budynków użyteczności publicznej stanowiących własność jednostek samorządu terytorialnego i wykorzystywanych przez nie do wykonywania zadań publicznych;</w:t>
      </w:r>
    </w:p>
    <w:p w:rsidR="00D73B96" w:rsidRPr="00D73B96" w:rsidRDefault="00D73B96" w:rsidP="00303BB2">
      <w:pPr>
        <w:pStyle w:val="Akapitzlist"/>
        <w:numPr>
          <w:ilvl w:val="0"/>
          <w:numId w:val="17"/>
        </w:numPr>
        <w:autoSpaceDE w:val="0"/>
        <w:autoSpaceDN w:val="0"/>
        <w:adjustRightInd w:val="0"/>
        <w:spacing w:after="120" w:line="276" w:lineRule="auto"/>
        <w:jc w:val="both"/>
        <w:rPr>
          <w:rFonts w:eastAsia="ArialMT"/>
          <w:sz w:val="20"/>
          <w:szCs w:val="20"/>
        </w:rPr>
      </w:pPr>
      <w:r w:rsidRPr="00D73B96">
        <w:rPr>
          <w:rFonts w:eastAsia="ArialMT"/>
          <w:sz w:val="20"/>
          <w:szCs w:val="20"/>
        </w:rPr>
        <w:t>lokalnej sieci ciepłowniczej;</w:t>
      </w:r>
    </w:p>
    <w:p w:rsidR="00D73B96" w:rsidRPr="00D73B96" w:rsidRDefault="00D73B96" w:rsidP="00303BB2">
      <w:pPr>
        <w:pStyle w:val="Akapitzlist"/>
        <w:numPr>
          <w:ilvl w:val="0"/>
          <w:numId w:val="17"/>
        </w:numPr>
        <w:autoSpaceDE w:val="0"/>
        <w:autoSpaceDN w:val="0"/>
        <w:adjustRightInd w:val="0"/>
        <w:spacing w:after="120" w:line="276" w:lineRule="auto"/>
        <w:jc w:val="both"/>
        <w:rPr>
          <w:rFonts w:eastAsia="ArialMT"/>
          <w:sz w:val="20"/>
          <w:szCs w:val="20"/>
        </w:rPr>
      </w:pPr>
      <w:r w:rsidRPr="00D73B96">
        <w:rPr>
          <w:rFonts w:eastAsia="ArialMT"/>
          <w:sz w:val="20"/>
          <w:szCs w:val="20"/>
        </w:rPr>
        <w:t>lokalnego źródła ciepła.</w:t>
      </w:r>
    </w:p>
    <w:p w:rsidR="00D73B96" w:rsidRPr="00D73B96" w:rsidRDefault="00D73B96" w:rsidP="006C4387">
      <w:pPr>
        <w:autoSpaceDE w:val="0"/>
        <w:autoSpaceDN w:val="0"/>
        <w:adjustRightInd w:val="0"/>
        <w:spacing w:after="120" w:line="276" w:lineRule="auto"/>
        <w:ind w:left="360"/>
        <w:jc w:val="both"/>
        <w:rPr>
          <w:rFonts w:eastAsia="ArialMT"/>
          <w:sz w:val="20"/>
          <w:szCs w:val="20"/>
        </w:rPr>
      </w:pPr>
      <w:r w:rsidRPr="00D73B96">
        <w:rPr>
          <w:rFonts w:eastAsia="ArialMT"/>
          <w:sz w:val="20"/>
          <w:szCs w:val="20"/>
        </w:rPr>
        <w:t xml:space="preserve">Z premii mogą korzystać Inwestorzy, bez względu na status </w:t>
      </w:r>
      <w:proofErr w:type="spellStart"/>
      <w:r w:rsidRPr="00D73B96">
        <w:rPr>
          <w:rFonts w:eastAsia="ArialMT"/>
          <w:sz w:val="20"/>
          <w:szCs w:val="20"/>
        </w:rPr>
        <w:t>prawny,a</w:t>
      </w:r>
      <w:proofErr w:type="spellEnd"/>
      <w:r w:rsidRPr="00D73B96">
        <w:rPr>
          <w:rFonts w:eastAsia="ArialMT"/>
          <w:sz w:val="20"/>
          <w:szCs w:val="20"/>
        </w:rPr>
        <w:t xml:space="preserve"> więc np.: osoby prawne (np. spółdzielnie mieszkaniowe i spółki prawa handlowego), jednostki samorządu terytorialnego, wspólnoty mieszkaniowe, osoby fizyczne, w tym właściciele domów jednorodzinnych. Premia nie przysługuje jednostkom budżetowym i zakładom budżetowym.</w:t>
      </w:r>
    </w:p>
    <w:p w:rsidR="00D73B96" w:rsidRDefault="00D73B96" w:rsidP="00D73B96">
      <w:pPr>
        <w:autoSpaceDE w:val="0"/>
        <w:autoSpaceDN w:val="0"/>
        <w:adjustRightInd w:val="0"/>
        <w:rPr>
          <w:sz w:val="20"/>
          <w:szCs w:val="20"/>
        </w:rPr>
      </w:pPr>
    </w:p>
    <w:p w:rsidR="006E05F9" w:rsidRPr="00654DCB" w:rsidRDefault="00B00DA6" w:rsidP="00000411">
      <w:pPr>
        <w:pStyle w:val="Akapitzlist"/>
        <w:shd w:val="clear" w:color="auto" w:fill="FFFFFF"/>
        <w:spacing w:after="120" w:line="276" w:lineRule="auto"/>
        <w:ind w:left="0"/>
        <w:contextualSpacing w:val="0"/>
        <w:jc w:val="both"/>
        <w:outlineLvl w:val="0"/>
        <w:rPr>
          <w:b/>
          <w:color w:val="000000" w:themeColor="text1"/>
          <w:szCs w:val="20"/>
        </w:rPr>
      </w:pPr>
      <w:r>
        <w:rPr>
          <w:b/>
          <w:color w:val="000000" w:themeColor="text1"/>
          <w:szCs w:val="20"/>
        </w:rPr>
        <w:t>6</w:t>
      </w:r>
      <w:r w:rsidR="006E05F9" w:rsidRPr="00654DCB">
        <w:rPr>
          <w:b/>
          <w:color w:val="000000" w:themeColor="text1"/>
          <w:szCs w:val="20"/>
        </w:rPr>
        <w:t xml:space="preserve">. Podsumowanie. </w:t>
      </w:r>
    </w:p>
    <w:p w:rsidR="00E641BC" w:rsidRDefault="00762ACE" w:rsidP="007C6B3C">
      <w:pPr>
        <w:shd w:val="clear" w:color="auto" w:fill="FFFFFF"/>
        <w:tabs>
          <w:tab w:val="num" w:pos="720"/>
        </w:tabs>
        <w:spacing w:after="120" w:line="276" w:lineRule="auto"/>
        <w:jc w:val="both"/>
        <w:rPr>
          <w:color w:val="000000" w:themeColor="text1"/>
          <w:sz w:val="20"/>
          <w:szCs w:val="20"/>
          <w:shd w:val="clear" w:color="auto" w:fill="FFFFFF"/>
        </w:rPr>
      </w:pPr>
      <w:r>
        <w:rPr>
          <w:color w:val="000000" w:themeColor="text1"/>
          <w:sz w:val="20"/>
          <w:szCs w:val="20"/>
          <w:shd w:val="clear" w:color="auto" w:fill="FFFFFF"/>
        </w:rPr>
        <w:tab/>
      </w:r>
      <w:r w:rsidR="00E641BC">
        <w:rPr>
          <w:color w:val="000000" w:themeColor="text1"/>
          <w:sz w:val="20"/>
          <w:szCs w:val="20"/>
          <w:shd w:val="clear" w:color="auto" w:fill="FFFFFF"/>
        </w:rPr>
        <w:t>Dzięki uchwalonej ustawy o Odnawialnych Źródłach Energii w naszym kraju zostały stworzone odpowiednie mechanizmy systemów wsparcia, które w znaczący sposób wpływają na obraz i pozycję odnawialnych źródeł energii w Polskim systemie energetycznym.  OZE jako alternatywa dla energetyki wielkoskalowej rozwijać się będzie wprost proporcjonalnie do wzrostu świadomości obywateli oraz wzrostowi cen nośników energetycznych.  Ceny en</w:t>
      </w:r>
      <w:r w:rsidR="00742A1E">
        <w:rPr>
          <w:color w:val="000000" w:themeColor="text1"/>
          <w:sz w:val="20"/>
          <w:szCs w:val="20"/>
          <w:shd w:val="clear" w:color="auto" w:fill="FFFFFF"/>
        </w:rPr>
        <w:t xml:space="preserve">ergii są swoistym wyznacznikiem rozwoju gospodarczego państwa, którego produkcja dóbr i usług jest skorelowana z ceną energii na rynku konkurencyjnym.  Z jednej strony energia jest </w:t>
      </w:r>
      <w:proofErr w:type="spellStart"/>
      <w:r w:rsidR="00742A1E">
        <w:rPr>
          <w:color w:val="000000" w:themeColor="text1"/>
          <w:sz w:val="20"/>
          <w:szCs w:val="20"/>
          <w:shd w:val="clear" w:color="auto" w:fill="FFFFFF"/>
        </w:rPr>
        <w:t>jest</w:t>
      </w:r>
      <w:proofErr w:type="spellEnd"/>
      <w:r w:rsidR="00742A1E">
        <w:rPr>
          <w:color w:val="000000" w:themeColor="text1"/>
          <w:sz w:val="20"/>
          <w:szCs w:val="20"/>
          <w:shd w:val="clear" w:color="auto" w:fill="FFFFFF"/>
        </w:rPr>
        <w:t xml:space="preserve"> czynnikiem rozwoju państwa z a drugiej strony jest jego hamulcem, gdyż energochłonne gospodarki oparte na produkcji i nośnikach energetycznych których cena jest relatywnie wysoka, paradoksalnie produkują i konsumują mniej. Wprowadzenie natomiast energii alternatywnej pozawala na stworzenie mechanizmów bezpieczeństwa energetycznego i </w:t>
      </w:r>
      <w:r w:rsidR="00742A1E">
        <w:rPr>
          <w:color w:val="000000" w:themeColor="text1"/>
          <w:sz w:val="20"/>
          <w:szCs w:val="20"/>
          <w:shd w:val="clear" w:color="auto" w:fill="FFFFFF"/>
        </w:rPr>
        <w:lastRenderedPageBreak/>
        <w:t xml:space="preserve">zachowaniu w miarę stabilnych cen energii. Co z kolei przekłada się na koszty produkcji oraz popyt i podaż dóbr i usług. </w:t>
      </w:r>
    </w:p>
    <w:p w:rsidR="00742A1E" w:rsidRDefault="00742A1E" w:rsidP="007C6B3C">
      <w:pPr>
        <w:shd w:val="clear" w:color="auto" w:fill="FFFFFF"/>
        <w:tabs>
          <w:tab w:val="num" w:pos="720"/>
        </w:tabs>
        <w:spacing w:after="120" w:line="276" w:lineRule="auto"/>
        <w:jc w:val="both"/>
        <w:rPr>
          <w:color w:val="000000" w:themeColor="text1"/>
          <w:sz w:val="20"/>
          <w:szCs w:val="20"/>
          <w:shd w:val="clear" w:color="auto" w:fill="FFFFFF"/>
        </w:rPr>
      </w:pPr>
      <w:r>
        <w:rPr>
          <w:color w:val="000000" w:themeColor="text1"/>
          <w:sz w:val="20"/>
          <w:szCs w:val="20"/>
          <w:shd w:val="clear" w:color="auto" w:fill="FFFFFF"/>
        </w:rPr>
        <w:t>Jednakże technologie OZE są znacznie droższymi technologiami niż t</w:t>
      </w:r>
      <w:r w:rsidR="00582544">
        <w:rPr>
          <w:color w:val="000000" w:themeColor="text1"/>
          <w:sz w:val="20"/>
          <w:szCs w:val="20"/>
          <w:shd w:val="clear" w:color="auto" w:fill="FFFFFF"/>
        </w:rPr>
        <w:t xml:space="preserve">e oparte na brudnych nośnikach i wymagają wsparcia systemowego co umożliwia ustawa OZE oraz pochodne instrumenty finansowe. </w:t>
      </w:r>
    </w:p>
    <w:p w:rsidR="00B51DB3" w:rsidRDefault="00412937" w:rsidP="00026142">
      <w:pPr>
        <w:shd w:val="clear" w:color="auto" w:fill="FFFFFF"/>
        <w:tabs>
          <w:tab w:val="num" w:pos="720"/>
        </w:tabs>
        <w:spacing w:after="120" w:line="276" w:lineRule="auto"/>
        <w:jc w:val="both"/>
        <w:rPr>
          <w:color w:val="000000" w:themeColor="text1"/>
          <w:sz w:val="20"/>
          <w:szCs w:val="20"/>
          <w:shd w:val="clear" w:color="auto" w:fill="FFFFFF"/>
        </w:rPr>
      </w:pPr>
      <w:r>
        <w:rPr>
          <w:color w:val="000000" w:themeColor="text1"/>
          <w:sz w:val="20"/>
          <w:szCs w:val="20"/>
          <w:shd w:val="clear" w:color="auto" w:fill="FFFFFF"/>
        </w:rPr>
        <w:t xml:space="preserve"> </w:t>
      </w:r>
    </w:p>
    <w:p w:rsidR="00B51DB3" w:rsidRDefault="00B51DB3" w:rsidP="00026142">
      <w:pPr>
        <w:shd w:val="clear" w:color="auto" w:fill="FFFFFF"/>
        <w:tabs>
          <w:tab w:val="num" w:pos="720"/>
        </w:tabs>
        <w:spacing w:after="120" w:line="276" w:lineRule="auto"/>
        <w:jc w:val="both"/>
        <w:rPr>
          <w:color w:val="000000" w:themeColor="text1"/>
          <w:sz w:val="20"/>
          <w:szCs w:val="20"/>
          <w:shd w:val="clear" w:color="auto" w:fill="FFFFFF"/>
        </w:rPr>
      </w:pPr>
    </w:p>
    <w:p w:rsidR="00B51DB3" w:rsidRDefault="00B51DB3" w:rsidP="00026142">
      <w:pPr>
        <w:shd w:val="clear" w:color="auto" w:fill="FFFFFF"/>
        <w:tabs>
          <w:tab w:val="num" w:pos="720"/>
        </w:tabs>
        <w:spacing w:after="120" w:line="276" w:lineRule="auto"/>
        <w:jc w:val="both"/>
        <w:rPr>
          <w:color w:val="000000" w:themeColor="text1"/>
          <w:sz w:val="20"/>
          <w:szCs w:val="20"/>
          <w:shd w:val="clear" w:color="auto" w:fill="FFFFFF"/>
        </w:rPr>
      </w:pPr>
    </w:p>
    <w:p w:rsidR="00B51DB3" w:rsidRDefault="00B51DB3" w:rsidP="00026142">
      <w:pPr>
        <w:shd w:val="clear" w:color="auto" w:fill="FFFFFF"/>
        <w:tabs>
          <w:tab w:val="num" w:pos="720"/>
        </w:tabs>
        <w:spacing w:after="120" w:line="276" w:lineRule="auto"/>
        <w:jc w:val="both"/>
        <w:rPr>
          <w:color w:val="000000" w:themeColor="text1"/>
          <w:sz w:val="20"/>
          <w:szCs w:val="20"/>
          <w:shd w:val="clear" w:color="auto" w:fill="FFFFFF"/>
        </w:rPr>
      </w:pPr>
    </w:p>
    <w:p w:rsidR="00821C43" w:rsidRPr="00673318" w:rsidRDefault="00821C43" w:rsidP="00026142">
      <w:pPr>
        <w:shd w:val="clear" w:color="auto" w:fill="FFFFFF"/>
        <w:tabs>
          <w:tab w:val="num" w:pos="720"/>
        </w:tabs>
        <w:spacing w:after="120" w:line="276" w:lineRule="auto"/>
        <w:jc w:val="both"/>
        <w:rPr>
          <w:rFonts w:eastAsia="Arial Unicode MS"/>
          <w:b/>
        </w:rPr>
      </w:pPr>
      <w:r>
        <w:rPr>
          <w:rFonts w:eastAsia="Arial Unicode MS"/>
          <w:b/>
        </w:rPr>
        <w:t>Bibliografia</w:t>
      </w:r>
    </w:p>
    <w:p w:rsidR="00821C43" w:rsidRPr="007D418C" w:rsidRDefault="00821C43" w:rsidP="00361221">
      <w:pPr>
        <w:numPr>
          <w:ilvl w:val="0"/>
          <w:numId w:val="1"/>
        </w:numPr>
        <w:ind w:left="709" w:hanging="567"/>
        <w:jc w:val="both"/>
        <w:rPr>
          <w:color w:val="000000"/>
          <w:sz w:val="16"/>
          <w:szCs w:val="16"/>
        </w:rPr>
      </w:pPr>
      <w:r w:rsidRPr="007D418C">
        <w:rPr>
          <w:sz w:val="16"/>
          <w:szCs w:val="16"/>
        </w:rPr>
        <w:t xml:space="preserve">Prawo Unii Europejskiej po Traktacie z Lizbony 2 wyd. wydawnictwa </w:t>
      </w:r>
      <w:proofErr w:type="spellStart"/>
      <w:r w:rsidRPr="007D418C">
        <w:rPr>
          <w:sz w:val="16"/>
          <w:szCs w:val="16"/>
        </w:rPr>
        <w:t>C.H.Beck</w:t>
      </w:r>
      <w:proofErr w:type="spellEnd"/>
      <w:r w:rsidRPr="007D418C">
        <w:rPr>
          <w:sz w:val="16"/>
          <w:szCs w:val="16"/>
        </w:rPr>
        <w:t xml:space="preserve"> </w:t>
      </w:r>
      <w:proofErr w:type="spellStart"/>
      <w:r w:rsidRPr="007D418C">
        <w:rPr>
          <w:sz w:val="16"/>
          <w:szCs w:val="16"/>
        </w:rPr>
        <w:t>J.Barcik</w:t>
      </w:r>
      <w:proofErr w:type="spellEnd"/>
      <w:r w:rsidRPr="007D418C">
        <w:rPr>
          <w:sz w:val="16"/>
          <w:szCs w:val="16"/>
        </w:rPr>
        <w:t xml:space="preserve">, </w:t>
      </w:r>
      <w:proofErr w:type="spellStart"/>
      <w:r w:rsidRPr="007D418C">
        <w:rPr>
          <w:sz w:val="16"/>
          <w:szCs w:val="16"/>
        </w:rPr>
        <w:t>A.Wentowska</w:t>
      </w:r>
      <w:proofErr w:type="spellEnd"/>
    </w:p>
    <w:p w:rsidR="007D418C" w:rsidRPr="007D418C" w:rsidRDefault="00821C43" w:rsidP="00361221">
      <w:pPr>
        <w:numPr>
          <w:ilvl w:val="0"/>
          <w:numId w:val="1"/>
        </w:numPr>
        <w:ind w:left="709" w:hanging="567"/>
        <w:jc w:val="both"/>
        <w:rPr>
          <w:color w:val="000000"/>
          <w:sz w:val="16"/>
          <w:szCs w:val="16"/>
        </w:rPr>
      </w:pPr>
      <w:r w:rsidRPr="007D418C">
        <w:rPr>
          <w:sz w:val="16"/>
          <w:szCs w:val="16"/>
        </w:rPr>
        <w:t>Polityka  energetyczna  i   bezpieczeństwo  energetyczne,  wyd.2,  Gerhard   Bartodziej,  Michał Tomaszewski  Wydawnictwo  Nowa  Energia  rok  2009</w:t>
      </w:r>
    </w:p>
    <w:p w:rsidR="007D418C" w:rsidRPr="007D418C" w:rsidRDefault="007D418C" w:rsidP="00361221">
      <w:pPr>
        <w:numPr>
          <w:ilvl w:val="0"/>
          <w:numId w:val="1"/>
        </w:numPr>
        <w:ind w:left="709" w:hanging="567"/>
        <w:jc w:val="both"/>
        <w:rPr>
          <w:color w:val="000000"/>
          <w:sz w:val="16"/>
          <w:szCs w:val="16"/>
        </w:rPr>
      </w:pPr>
      <w:r w:rsidRPr="007D418C">
        <w:rPr>
          <w:sz w:val="16"/>
          <w:szCs w:val="16"/>
        </w:rPr>
        <w:t>Dyrektywa 2009/28/WE z dnia 23 kwietnia 2009 r. w sprawie promowania stosowania energii ze źródeł odnawialnych zmieniająca i w następstwie uchylająca dyrektywy 2001/77/WE oraz 2003/30/WE. Dziennik Urzędowy Unii Europejskiej L 140/16, 5.6.2009</w:t>
      </w:r>
    </w:p>
    <w:p w:rsidR="00821C43" w:rsidRPr="007D418C" w:rsidRDefault="00821C43" w:rsidP="00361221">
      <w:pPr>
        <w:numPr>
          <w:ilvl w:val="0"/>
          <w:numId w:val="1"/>
        </w:numPr>
        <w:ind w:left="709" w:hanging="567"/>
        <w:jc w:val="both"/>
        <w:rPr>
          <w:color w:val="000000"/>
          <w:sz w:val="16"/>
          <w:szCs w:val="16"/>
        </w:rPr>
      </w:pPr>
      <w:r w:rsidRPr="007D418C">
        <w:rPr>
          <w:sz w:val="16"/>
          <w:szCs w:val="16"/>
        </w:rPr>
        <w:t xml:space="preserve">Prawo Unii Europejskiej po Traktacie z Lizbony 2 wyd. wydawnictwa </w:t>
      </w:r>
      <w:proofErr w:type="spellStart"/>
      <w:r w:rsidRPr="007D418C">
        <w:rPr>
          <w:sz w:val="16"/>
          <w:szCs w:val="16"/>
        </w:rPr>
        <w:t>C.H.Beck</w:t>
      </w:r>
      <w:proofErr w:type="spellEnd"/>
      <w:r w:rsidRPr="007D418C">
        <w:rPr>
          <w:sz w:val="16"/>
          <w:szCs w:val="16"/>
        </w:rPr>
        <w:t xml:space="preserve"> </w:t>
      </w:r>
      <w:proofErr w:type="spellStart"/>
      <w:r w:rsidRPr="007D418C">
        <w:rPr>
          <w:sz w:val="16"/>
          <w:szCs w:val="16"/>
        </w:rPr>
        <w:t>J.Barcik</w:t>
      </w:r>
      <w:proofErr w:type="spellEnd"/>
      <w:r w:rsidRPr="007D418C">
        <w:rPr>
          <w:sz w:val="16"/>
          <w:szCs w:val="16"/>
        </w:rPr>
        <w:t xml:space="preserve">, </w:t>
      </w:r>
      <w:proofErr w:type="spellStart"/>
      <w:r w:rsidRPr="007D418C">
        <w:rPr>
          <w:sz w:val="16"/>
          <w:szCs w:val="16"/>
        </w:rPr>
        <w:t>A.Wentowska</w:t>
      </w:r>
      <w:proofErr w:type="spellEnd"/>
      <w:r w:rsidRPr="007D418C">
        <w:rPr>
          <w:sz w:val="16"/>
          <w:szCs w:val="16"/>
        </w:rPr>
        <w:t xml:space="preserve"> </w:t>
      </w:r>
    </w:p>
    <w:p w:rsidR="00821C43" w:rsidRPr="007D418C" w:rsidRDefault="00821C43" w:rsidP="00361221">
      <w:pPr>
        <w:numPr>
          <w:ilvl w:val="0"/>
          <w:numId w:val="1"/>
        </w:numPr>
        <w:ind w:left="709" w:hanging="567"/>
        <w:jc w:val="both"/>
        <w:rPr>
          <w:color w:val="000000"/>
          <w:sz w:val="16"/>
          <w:szCs w:val="16"/>
        </w:rPr>
      </w:pPr>
      <w:r w:rsidRPr="007D418C">
        <w:rPr>
          <w:sz w:val="16"/>
          <w:szCs w:val="16"/>
        </w:rPr>
        <w:t>Polityka energetyczna i bezpieczeństwo energetyczne, wyd.2, Gerhard Bartodziej, Michał Tomaszewski Wydawnictwo Nowa Energia rok 2009</w:t>
      </w:r>
    </w:p>
    <w:p w:rsidR="00821C43" w:rsidRPr="00A24FCE" w:rsidRDefault="00821C43" w:rsidP="00361221">
      <w:pPr>
        <w:numPr>
          <w:ilvl w:val="0"/>
          <w:numId w:val="1"/>
        </w:numPr>
        <w:ind w:left="709" w:hanging="567"/>
        <w:jc w:val="both"/>
        <w:rPr>
          <w:color w:val="000000"/>
          <w:sz w:val="16"/>
          <w:szCs w:val="16"/>
        </w:rPr>
      </w:pPr>
      <w:r w:rsidRPr="007D418C">
        <w:rPr>
          <w:rFonts w:eastAsia="Arial Unicode MS"/>
          <w:sz w:val="16"/>
          <w:szCs w:val="16"/>
        </w:rPr>
        <w:t xml:space="preserve">Prawo </w:t>
      </w:r>
      <w:r w:rsidRPr="007D418C">
        <w:rPr>
          <w:rFonts w:eastAsia="Arial Unicode MS"/>
          <w:color w:val="000000"/>
          <w:sz w:val="16"/>
          <w:szCs w:val="16"/>
        </w:rPr>
        <w:t>Energetyczne (</w:t>
      </w:r>
      <w:r w:rsidRPr="007D418C">
        <w:rPr>
          <w:bCs/>
          <w:color w:val="000000"/>
          <w:sz w:val="16"/>
          <w:szCs w:val="16"/>
          <w:shd w:val="clear" w:color="auto" w:fill="FFFFFF"/>
        </w:rPr>
        <w:t xml:space="preserve">Dz. U. z 2012 r., poz. 1059, </w:t>
      </w:r>
      <w:r w:rsidRPr="007D418C">
        <w:rPr>
          <w:sz w:val="16"/>
          <w:szCs w:val="16"/>
        </w:rPr>
        <w:t>oraz z 2013 r. poz. 984</w:t>
      </w:r>
      <w:r w:rsidRPr="007D418C">
        <w:rPr>
          <w:bCs/>
          <w:color w:val="000000"/>
          <w:sz w:val="16"/>
          <w:szCs w:val="16"/>
          <w:shd w:val="clear" w:color="auto" w:fill="FFFFFF"/>
        </w:rPr>
        <w:t>)</w:t>
      </w:r>
    </w:p>
    <w:p w:rsidR="00A24FCE" w:rsidRPr="00A24FCE" w:rsidRDefault="00A24FCE" w:rsidP="00361221">
      <w:pPr>
        <w:numPr>
          <w:ilvl w:val="0"/>
          <w:numId w:val="1"/>
        </w:numPr>
        <w:ind w:left="709" w:hanging="567"/>
        <w:jc w:val="both"/>
        <w:rPr>
          <w:color w:val="000000"/>
          <w:sz w:val="16"/>
          <w:szCs w:val="16"/>
        </w:rPr>
      </w:pPr>
      <w:r>
        <w:rPr>
          <w:rFonts w:eastAsia="Arial Unicode MS"/>
          <w:sz w:val="16"/>
          <w:szCs w:val="16"/>
        </w:rPr>
        <w:t xml:space="preserve">Ustawa o odnawialnych źródłach energii </w:t>
      </w:r>
      <w:r w:rsidRPr="007D418C">
        <w:rPr>
          <w:rFonts w:eastAsia="Arial Unicode MS"/>
          <w:color w:val="000000"/>
          <w:sz w:val="16"/>
          <w:szCs w:val="16"/>
        </w:rPr>
        <w:t xml:space="preserve"> </w:t>
      </w:r>
      <w:r w:rsidRPr="00A24FCE">
        <w:rPr>
          <w:rFonts w:eastAsia="Arial Unicode MS"/>
          <w:color w:val="000000"/>
          <w:sz w:val="16"/>
          <w:szCs w:val="16"/>
        </w:rPr>
        <w:t>(</w:t>
      </w:r>
      <w:r w:rsidRPr="00A24FCE">
        <w:rPr>
          <w:bCs/>
          <w:color w:val="000000"/>
          <w:sz w:val="16"/>
          <w:szCs w:val="16"/>
          <w:shd w:val="clear" w:color="auto" w:fill="FFFFFF"/>
        </w:rPr>
        <w:t>Dz.U. 2015 poz. 478)</w:t>
      </w:r>
    </w:p>
    <w:p w:rsidR="00821C43" w:rsidRPr="007D418C" w:rsidRDefault="00821C43" w:rsidP="00361221">
      <w:pPr>
        <w:numPr>
          <w:ilvl w:val="0"/>
          <w:numId w:val="1"/>
        </w:numPr>
        <w:ind w:left="709" w:hanging="567"/>
        <w:jc w:val="both"/>
        <w:rPr>
          <w:color w:val="000000"/>
          <w:sz w:val="16"/>
          <w:szCs w:val="16"/>
        </w:rPr>
      </w:pPr>
      <w:r w:rsidRPr="007D418C">
        <w:rPr>
          <w:color w:val="000000"/>
          <w:sz w:val="16"/>
          <w:szCs w:val="16"/>
        </w:rPr>
        <w:t>Ustawa z dnia 15 kwietnia 2011r. o efektywności energetycznej (Dziennik Ustaw Nr 94, poz. 551).</w:t>
      </w:r>
    </w:p>
    <w:p w:rsidR="00821C43" w:rsidRPr="007D418C" w:rsidRDefault="00821C43" w:rsidP="00361221">
      <w:pPr>
        <w:numPr>
          <w:ilvl w:val="0"/>
          <w:numId w:val="1"/>
        </w:numPr>
        <w:ind w:left="709" w:hanging="567"/>
        <w:jc w:val="both"/>
        <w:rPr>
          <w:color w:val="000000"/>
          <w:sz w:val="16"/>
          <w:szCs w:val="16"/>
        </w:rPr>
      </w:pPr>
      <w:r w:rsidRPr="007D418C">
        <w:rPr>
          <w:color w:val="000000"/>
          <w:sz w:val="16"/>
          <w:szCs w:val="16"/>
        </w:rPr>
        <w:t>Rozporządzenie Ministra Gospodarki z dnia 14 sierpnia 2008 r. w sprawie szczegółowego zakresu obowiązków uzyskania i przedstawienia do umorzenia świadectw pochodzenia, uiszczenia opłaty zastępczej, zakupu energii elektrycznej i ciepła wytworzonych w odnawialnych źródłach energii oraz obowiązku potwierdzania danych dotyczących ilości energii wytworzonych w odnawialnym źródle energii (Dziennik Ustaw Nr 156, poz. 969, ze zm.).</w:t>
      </w:r>
    </w:p>
    <w:p w:rsidR="00821C43" w:rsidRPr="007D418C" w:rsidRDefault="00821C43" w:rsidP="00361221">
      <w:pPr>
        <w:numPr>
          <w:ilvl w:val="0"/>
          <w:numId w:val="1"/>
        </w:numPr>
        <w:ind w:left="709" w:hanging="567"/>
        <w:jc w:val="both"/>
        <w:rPr>
          <w:color w:val="000000"/>
          <w:sz w:val="16"/>
          <w:szCs w:val="16"/>
        </w:rPr>
      </w:pPr>
      <w:r w:rsidRPr="007D418C">
        <w:rPr>
          <w:color w:val="000000"/>
          <w:sz w:val="16"/>
          <w:szCs w:val="16"/>
        </w:rPr>
        <w:t>Rozporządzenie Ministra Gospodarki z dnia 4 maja 2007 r. w sprawie szczegółowych warunków funkcjonowania systemu elektroenergetycznego (Dziennik Ustaw Nr 93, poz. 623, ze zm.).</w:t>
      </w:r>
    </w:p>
    <w:p w:rsidR="00821C43" w:rsidRDefault="00821C43" w:rsidP="00361221">
      <w:pPr>
        <w:numPr>
          <w:ilvl w:val="0"/>
          <w:numId w:val="1"/>
        </w:numPr>
        <w:ind w:left="709" w:hanging="567"/>
        <w:jc w:val="both"/>
        <w:rPr>
          <w:color w:val="000000"/>
          <w:sz w:val="16"/>
          <w:szCs w:val="16"/>
        </w:rPr>
      </w:pPr>
      <w:r w:rsidRPr="007D418C">
        <w:rPr>
          <w:color w:val="000000"/>
          <w:sz w:val="16"/>
          <w:szCs w:val="16"/>
        </w:rPr>
        <w:t xml:space="preserve">Rozporządzenie Ministra Środowiska z dnia 16  stycznia 2008 r. w sprawie szczegółowych warunków udzielania pomocy publicznej na przedsięwzięcia będące inwestycjami związanymi z odnawialnymi źródłami energii (Dziennik Ustaw Nr 14 poz. 89 ze zm.). </w:t>
      </w:r>
    </w:p>
    <w:p w:rsidR="00F21C26" w:rsidRPr="00F21C26" w:rsidRDefault="00F21C26" w:rsidP="00361221">
      <w:pPr>
        <w:numPr>
          <w:ilvl w:val="0"/>
          <w:numId w:val="1"/>
        </w:numPr>
        <w:ind w:left="709" w:hanging="567"/>
        <w:rPr>
          <w:color w:val="000000"/>
          <w:sz w:val="12"/>
          <w:szCs w:val="12"/>
        </w:rPr>
      </w:pPr>
      <w:r w:rsidRPr="00F21C26">
        <w:rPr>
          <w:sz w:val="16"/>
          <w:szCs w:val="16"/>
        </w:rPr>
        <w:t>Dziennik Urzędowy Unii Europejskiej L 187</w:t>
      </w:r>
      <w:r>
        <w:rPr>
          <w:sz w:val="16"/>
          <w:szCs w:val="16"/>
        </w:rPr>
        <w:t xml:space="preserve">, </w:t>
      </w:r>
      <w:r w:rsidRPr="00F21C26">
        <w:rPr>
          <w:sz w:val="16"/>
          <w:szCs w:val="16"/>
        </w:rPr>
        <w:t xml:space="preserve"> Rozporządzenie Komisji (UE) nr 651/2014 z dnia 17 czerwca 2014 r. uznające niektóre rodzaje pomocy za zgodne z rynkiem wewnętrznym w zastosowaniu art. 107 i 108 Traktatu</w:t>
      </w:r>
      <w:r>
        <w:rPr>
          <w:sz w:val="16"/>
          <w:szCs w:val="16"/>
        </w:rPr>
        <w:t xml:space="preserve"> </w:t>
      </w:r>
      <w:hyperlink r:id="rId9" w:history="1">
        <w:r w:rsidRPr="00F21C26">
          <w:rPr>
            <w:rStyle w:val="Hipercze"/>
            <w:sz w:val="12"/>
            <w:szCs w:val="12"/>
          </w:rPr>
          <w:t>file:///C:/Users/asia/Downloads/Rozporzadzenie_Komisji_UE_nr_651_2014_z_dnia_17_czerwca_2014_r.pdf</w:t>
        </w:r>
      </w:hyperlink>
    </w:p>
    <w:p w:rsidR="00BD137A" w:rsidRPr="00E8031C" w:rsidRDefault="008D38E5" w:rsidP="00361221">
      <w:pPr>
        <w:numPr>
          <w:ilvl w:val="0"/>
          <w:numId w:val="1"/>
        </w:numPr>
        <w:ind w:left="709" w:hanging="567"/>
        <w:jc w:val="both"/>
        <w:rPr>
          <w:color w:val="000000"/>
          <w:sz w:val="16"/>
          <w:szCs w:val="16"/>
        </w:rPr>
      </w:pPr>
      <w:r w:rsidRPr="00E8031C">
        <w:rPr>
          <w:rFonts w:eastAsiaTheme="minorHAnsi"/>
          <w:color w:val="1A1A18"/>
          <w:sz w:val="16"/>
          <w:szCs w:val="16"/>
          <w:lang w:eastAsia="en-US"/>
        </w:rPr>
        <w:t xml:space="preserve">IRENA </w:t>
      </w:r>
      <w:proofErr w:type="spellStart"/>
      <w:r w:rsidRPr="00E8031C">
        <w:rPr>
          <w:rFonts w:eastAsiaTheme="minorHAnsi"/>
          <w:color w:val="1A1A18"/>
          <w:sz w:val="16"/>
          <w:szCs w:val="16"/>
          <w:lang w:eastAsia="en-US"/>
        </w:rPr>
        <w:t>Secretariat</w:t>
      </w:r>
      <w:proofErr w:type="spellEnd"/>
      <w:r w:rsidRPr="00E8031C">
        <w:rPr>
          <w:rFonts w:eastAsiaTheme="minorHAnsi"/>
          <w:color w:val="1A1A18"/>
          <w:sz w:val="16"/>
          <w:szCs w:val="16"/>
          <w:lang w:eastAsia="en-US"/>
        </w:rPr>
        <w:t xml:space="preserve">, </w:t>
      </w:r>
      <w:proofErr w:type="spellStart"/>
      <w:r w:rsidRPr="00E8031C">
        <w:rPr>
          <w:rFonts w:eastAsiaTheme="minorHAnsi"/>
          <w:iCs/>
          <w:color w:val="1A1A18"/>
          <w:sz w:val="16"/>
          <w:szCs w:val="16"/>
          <w:lang w:eastAsia="en-US"/>
        </w:rPr>
        <w:t>Renewable</w:t>
      </w:r>
      <w:proofErr w:type="spellEnd"/>
      <w:r w:rsidRPr="00E8031C">
        <w:rPr>
          <w:rFonts w:eastAsiaTheme="minorHAnsi"/>
          <w:iCs/>
          <w:color w:val="1A1A18"/>
          <w:sz w:val="16"/>
          <w:szCs w:val="16"/>
          <w:lang w:eastAsia="en-US"/>
        </w:rPr>
        <w:t xml:space="preserve"> Power </w:t>
      </w:r>
      <w:proofErr w:type="spellStart"/>
      <w:r w:rsidRPr="00E8031C">
        <w:rPr>
          <w:rFonts w:eastAsiaTheme="minorHAnsi"/>
          <w:iCs/>
          <w:color w:val="1A1A18"/>
          <w:sz w:val="16"/>
          <w:szCs w:val="16"/>
          <w:lang w:eastAsia="en-US"/>
        </w:rPr>
        <w:t>Generation</w:t>
      </w:r>
      <w:proofErr w:type="spellEnd"/>
      <w:r w:rsidRPr="00E8031C">
        <w:rPr>
          <w:rFonts w:eastAsiaTheme="minorHAnsi"/>
          <w:iCs/>
          <w:color w:val="1A1A18"/>
          <w:sz w:val="16"/>
          <w:szCs w:val="16"/>
          <w:lang w:eastAsia="en-US"/>
        </w:rPr>
        <w:t xml:space="preserve"> </w:t>
      </w:r>
      <w:proofErr w:type="spellStart"/>
      <w:r w:rsidRPr="00E8031C">
        <w:rPr>
          <w:rFonts w:eastAsiaTheme="minorHAnsi"/>
          <w:iCs/>
          <w:color w:val="1A1A18"/>
          <w:sz w:val="16"/>
          <w:szCs w:val="16"/>
          <w:lang w:eastAsia="en-US"/>
        </w:rPr>
        <w:t>Costs</w:t>
      </w:r>
      <w:proofErr w:type="spellEnd"/>
      <w:r w:rsidRPr="00E8031C">
        <w:rPr>
          <w:rFonts w:eastAsiaTheme="minorHAnsi"/>
          <w:iCs/>
          <w:color w:val="1A1A18"/>
          <w:sz w:val="16"/>
          <w:szCs w:val="16"/>
          <w:lang w:eastAsia="en-US"/>
        </w:rPr>
        <w:t xml:space="preserve"> in 2012: </w:t>
      </w:r>
      <w:proofErr w:type="spellStart"/>
      <w:r w:rsidRPr="00E8031C">
        <w:rPr>
          <w:rFonts w:eastAsiaTheme="minorHAnsi"/>
          <w:iCs/>
          <w:color w:val="1A1A18"/>
          <w:sz w:val="16"/>
          <w:szCs w:val="16"/>
          <w:lang w:eastAsia="en-US"/>
        </w:rPr>
        <w:t>An</w:t>
      </w:r>
      <w:proofErr w:type="spellEnd"/>
      <w:r w:rsidRPr="00E8031C">
        <w:rPr>
          <w:rFonts w:eastAsiaTheme="minorHAnsi"/>
          <w:iCs/>
          <w:color w:val="1A1A18"/>
          <w:sz w:val="16"/>
          <w:szCs w:val="16"/>
          <w:lang w:eastAsia="en-US"/>
        </w:rPr>
        <w:t xml:space="preserve"> </w:t>
      </w:r>
      <w:proofErr w:type="spellStart"/>
      <w:r w:rsidRPr="00E8031C">
        <w:rPr>
          <w:rFonts w:eastAsiaTheme="minorHAnsi"/>
          <w:iCs/>
          <w:color w:val="1A1A18"/>
          <w:sz w:val="16"/>
          <w:szCs w:val="16"/>
          <w:lang w:eastAsia="en-US"/>
        </w:rPr>
        <w:t>Overview</w:t>
      </w:r>
      <w:proofErr w:type="spellEnd"/>
      <w:r w:rsidRPr="00E8031C">
        <w:rPr>
          <w:rFonts w:eastAsiaTheme="minorHAnsi"/>
          <w:color w:val="1A1A18"/>
          <w:sz w:val="16"/>
          <w:szCs w:val="16"/>
          <w:lang w:eastAsia="en-US"/>
        </w:rPr>
        <w:t>.</w:t>
      </w:r>
    </w:p>
    <w:p w:rsidR="008D38E5" w:rsidRPr="00E8031C" w:rsidRDefault="008D38E5" w:rsidP="00361221">
      <w:pPr>
        <w:numPr>
          <w:ilvl w:val="0"/>
          <w:numId w:val="1"/>
        </w:numPr>
        <w:ind w:left="709" w:hanging="567"/>
        <w:jc w:val="both"/>
        <w:rPr>
          <w:color w:val="000000"/>
          <w:sz w:val="16"/>
          <w:szCs w:val="16"/>
        </w:rPr>
      </w:pPr>
      <w:r w:rsidRPr="00E8031C">
        <w:rPr>
          <w:rFonts w:eastAsiaTheme="minorHAnsi"/>
          <w:color w:val="1A1A18"/>
          <w:sz w:val="16"/>
          <w:szCs w:val="16"/>
          <w:lang w:eastAsia="en-US"/>
        </w:rPr>
        <w:t xml:space="preserve">GLOBE Intl., </w:t>
      </w:r>
      <w:r w:rsidRPr="00E8031C">
        <w:rPr>
          <w:rFonts w:eastAsiaTheme="minorHAnsi"/>
          <w:iCs/>
          <w:color w:val="1A1A18"/>
          <w:sz w:val="16"/>
          <w:szCs w:val="16"/>
          <w:lang w:eastAsia="en-US"/>
        </w:rPr>
        <w:t xml:space="preserve">The GLOBE </w:t>
      </w:r>
      <w:proofErr w:type="spellStart"/>
      <w:r w:rsidRPr="00E8031C">
        <w:rPr>
          <w:rFonts w:eastAsiaTheme="minorHAnsi"/>
          <w:iCs/>
          <w:color w:val="1A1A18"/>
          <w:sz w:val="16"/>
          <w:szCs w:val="16"/>
          <w:lang w:eastAsia="en-US"/>
        </w:rPr>
        <w:t>Climate</w:t>
      </w:r>
      <w:proofErr w:type="spellEnd"/>
      <w:r w:rsidRPr="00E8031C">
        <w:rPr>
          <w:rFonts w:eastAsiaTheme="minorHAnsi"/>
          <w:iCs/>
          <w:color w:val="1A1A18"/>
          <w:sz w:val="16"/>
          <w:szCs w:val="16"/>
          <w:lang w:eastAsia="en-US"/>
        </w:rPr>
        <w:t xml:space="preserve"> </w:t>
      </w:r>
      <w:proofErr w:type="spellStart"/>
      <w:r w:rsidRPr="00E8031C">
        <w:rPr>
          <w:rFonts w:eastAsiaTheme="minorHAnsi"/>
          <w:iCs/>
          <w:color w:val="1A1A18"/>
          <w:sz w:val="16"/>
          <w:szCs w:val="16"/>
          <w:lang w:eastAsia="en-US"/>
        </w:rPr>
        <w:t>Legislation</w:t>
      </w:r>
      <w:proofErr w:type="spellEnd"/>
      <w:r w:rsidRPr="00E8031C">
        <w:rPr>
          <w:rFonts w:eastAsiaTheme="minorHAnsi"/>
          <w:iCs/>
          <w:color w:val="1A1A18"/>
          <w:sz w:val="16"/>
          <w:szCs w:val="16"/>
          <w:lang w:eastAsia="en-US"/>
        </w:rPr>
        <w:t xml:space="preserve"> </w:t>
      </w:r>
      <w:proofErr w:type="spellStart"/>
      <w:r w:rsidRPr="00E8031C">
        <w:rPr>
          <w:rFonts w:eastAsiaTheme="minorHAnsi"/>
          <w:iCs/>
          <w:color w:val="1A1A18"/>
          <w:sz w:val="16"/>
          <w:szCs w:val="16"/>
          <w:lang w:eastAsia="en-US"/>
        </w:rPr>
        <w:t>Study</w:t>
      </w:r>
      <w:proofErr w:type="spellEnd"/>
      <w:r w:rsidRPr="00E8031C">
        <w:rPr>
          <w:rFonts w:eastAsiaTheme="minorHAnsi"/>
          <w:color w:val="1A1A18"/>
          <w:sz w:val="16"/>
          <w:szCs w:val="16"/>
          <w:lang w:eastAsia="en-US"/>
        </w:rPr>
        <w:t>.</w:t>
      </w:r>
    </w:p>
    <w:p w:rsidR="00DD1D7A" w:rsidRPr="00E8031C" w:rsidRDefault="008D38E5" w:rsidP="00361221">
      <w:pPr>
        <w:numPr>
          <w:ilvl w:val="0"/>
          <w:numId w:val="1"/>
        </w:numPr>
        <w:ind w:left="709" w:hanging="567"/>
        <w:jc w:val="both"/>
        <w:rPr>
          <w:color w:val="000000"/>
          <w:sz w:val="16"/>
          <w:szCs w:val="16"/>
        </w:rPr>
      </w:pPr>
      <w:r w:rsidRPr="00E8031C">
        <w:rPr>
          <w:rFonts w:eastAsiaTheme="minorHAnsi"/>
          <w:color w:val="1A1A18"/>
          <w:sz w:val="16"/>
          <w:szCs w:val="16"/>
          <w:lang w:eastAsia="en-US"/>
        </w:rPr>
        <w:t xml:space="preserve">Guy Turner, “Global </w:t>
      </w:r>
      <w:proofErr w:type="spellStart"/>
      <w:r w:rsidRPr="00E8031C">
        <w:rPr>
          <w:rFonts w:eastAsiaTheme="minorHAnsi"/>
          <w:color w:val="1A1A18"/>
          <w:sz w:val="16"/>
          <w:szCs w:val="16"/>
          <w:lang w:eastAsia="en-US"/>
        </w:rPr>
        <w:t>Renewable</w:t>
      </w:r>
      <w:proofErr w:type="spellEnd"/>
      <w:r w:rsidRPr="00E8031C">
        <w:rPr>
          <w:rFonts w:eastAsiaTheme="minorHAnsi"/>
          <w:color w:val="1A1A18"/>
          <w:sz w:val="16"/>
          <w:szCs w:val="16"/>
          <w:lang w:eastAsia="en-US"/>
        </w:rPr>
        <w:t xml:space="preserve"> Energy Market Outlook: </w:t>
      </w:r>
      <w:proofErr w:type="spellStart"/>
      <w:r w:rsidRPr="00E8031C">
        <w:rPr>
          <w:rFonts w:eastAsiaTheme="minorHAnsi"/>
          <w:color w:val="1A1A18"/>
          <w:sz w:val="16"/>
          <w:szCs w:val="16"/>
          <w:lang w:eastAsia="en-US"/>
        </w:rPr>
        <w:t>Fact</w:t>
      </w:r>
      <w:proofErr w:type="spellEnd"/>
      <w:r w:rsidRPr="00E8031C">
        <w:rPr>
          <w:rFonts w:eastAsiaTheme="minorHAnsi"/>
          <w:color w:val="1A1A18"/>
          <w:sz w:val="16"/>
          <w:szCs w:val="16"/>
          <w:lang w:eastAsia="en-US"/>
        </w:rPr>
        <w:t xml:space="preserve"> Pack</w:t>
      </w:r>
    </w:p>
    <w:p w:rsidR="00301044" w:rsidRDefault="00301044" w:rsidP="00666E24">
      <w:pPr>
        <w:spacing w:before="120" w:after="120" w:line="276" w:lineRule="auto"/>
        <w:jc w:val="both"/>
        <w:rPr>
          <w:rFonts w:eastAsiaTheme="minorHAnsi"/>
          <w:color w:val="000000" w:themeColor="text1"/>
          <w:sz w:val="20"/>
          <w:szCs w:val="20"/>
          <w:lang w:eastAsia="en-US"/>
        </w:rPr>
      </w:pPr>
    </w:p>
    <w:sectPr w:rsidR="00301044" w:rsidSect="00582544">
      <w:headerReference w:type="even" r:id="rId10"/>
      <w:headerReference w:type="default" r:id="rId11"/>
      <w:headerReference w:type="first" r:id="rId12"/>
      <w:pgSz w:w="9979" w:h="14175" w:code="357"/>
      <w:pgMar w:top="1418" w:right="1134" w:bottom="1135" w:left="1134" w:header="79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B0C" w:rsidRDefault="00C97B0C" w:rsidP="00C0287B">
      <w:r>
        <w:separator/>
      </w:r>
    </w:p>
  </w:endnote>
  <w:endnote w:type="continuationSeparator" w:id="0">
    <w:p w:rsidR="00C97B0C" w:rsidRDefault="00C97B0C" w:rsidP="00C02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BoldMT">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SymbolMT,Bold">
    <w:altName w:val="Arial Unicode MS"/>
    <w:panose1 w:val="00000000000000000000"/>
    <w:charset w:val="88"/>
    <w:family w:val="auto"/>
    <w:notTrueType/>
    <w:pitch w:val="default"/>
    <w:sig w:usb0="00000000" w:usb1="08080000" w:usb2="00000010" w:usb3="00000000" w:csb0="00100000"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B0C" w:rsidRDefault="00C97B0C" w:rsidP="00C0287B">
      <w:r>
        <w:separator/>
      </w:r>
    </w:p>
  </w:footnote>
  <w:footnote w:type="continuationSeparator" w:id="0">
    <w:p w:rsidR="00C97B0C" w:rsidRDefault="00C97B0C" w:rsidP="00C0287B">
      <w:r>
        <w:continuationSeparator/>
      </w:r>
    </w:p>
  </w:footnote>
  <w:footnote w:id="1">
    <w:p w:rsidR="00201776" w:rsidRDefault="00201776" w:rsidP="009F2883">
      <w:pPr>
        <w:pStyle w:val="Tekstprzypisudolnego"/>
      </w:pPr>
      <w:r>
        <w:rPr>
          <w:rStyle w:val="Odwoanieprzypisudolnego"/>
        </w:rPr>
        <w:footnoteRef/>
      </w:r>
      <w:r>
        <w:t xml:space="preserve"> </w:t>
      </w:r>
      <w:r w:rsidRPr="0005563E">
        <w:t>mgr Joanna KAWA, NEXUM</w:t>
      </w:r>
      <w:r>
        <w:t xml:space="preserve"> </w:t>
      </w:r>
      <w:r w:rsidRPr="0005563E">
        <w:t xml:space="preserve"> Consulting Finansowo – Energetyczny , ul. Reformacka 23</w:t>
      </w:r>
      <w:r>
        <w:t>A</w:t>
      </w:r>
      <w:r w:rsidRPr="0005563E">
        <w:t xml:space="preserve">,  80-808 Gdańsk, </w:t>
      </w:r>
      <w:r>
        <w:t xml:space="preserve">Polska </w:t>
      </w:r>
      <w:r w:rsidRPr="0005563E">
        <w:t xml:space="preserve"> tel.: +48-693771315 doktorantka Uniwersytetu Gdańskiego Wydziału Prawa, Katedry Prawa Gospodarczego Publicznego i Ochrony Środowiska  w Gdańsku, email: </w:t>
      </w:r>
      <w:hyperlink r:id="rId1" w:history="1">
        <w:r w:rsidRPr="00E35869">
          <w:rPr>
            <w:rStyle w:val="Hipercze"/>
          </w:rPr>
          <w:t>j.kawa@nexum.net.pl</w:t>
        </w:r>
      </w:hyperlink>
      <w:r>
        <w:t xml:space="preserve"> </w:t>
      </w:r>
    </w:p>
  </w:footnote>
  <w:footnote w:id="2">
    <w:p w:rsidR="00702B11" w:rsidRDefault="00702B11">
      <w:pPr>
        <w:pStyle w:val="Tekstprzypisudolnego"/>
      </w:pPr>
      <w:r>
        <w:rPr>
          <w:rStyle w:val="Odwoanieprzypisudolnego"/>
        </w:rPr>
        <w:footnoteRef/>
      </w:r>
      <w:r>
        <w:t xml:space="preserve"> Regionalny Program Operacyjny Województwa Kujawsko-Pomorskiego na lata 2014-2020 [nr CCI 2014PL16M2OP002]</w:t>
      </w:r>
      <w:r w:rsidRPr="00702B11">
        <w:t xml:space="preserve"> </w:t>
      </w:r>
      <w:hyperlink r:id="rId2" w:history="1">
        <w:r w:rsidRPr="00334DCB">
          <w:rPr>
            <w:rStyle w:val="Hipercze"/>
          </w:rPr>
          <w:t>http://archiwum.kujawsko-pomorskie.pl/pliki/wiadomosci/zit/dokumenty/Regionalny_Program_Operacyjny_Wojewodztwa_Kujawsko-Pomorskiego_v3_0.pdf</w:t>
        </w:r>
      </w:hyperlink>
      <w:r>
        <w:t xml:space="preserve"> </w:t>
      </w:r>
    </w:p>
  </w:footnote>
  <w:footnote w:id="3">
    <w:p w:rsidR="00702B11" w:rsidRDefault="00702B11">
      <w:pPr>
        <w:pStyle w:val="Tekstprzypisudolnego"/>
      </w:pPr>
      <w:r>
        <w:rPr>
          <w:rStyle w:val="Odwoanieprzypisudolnego"/>
        </w:rPr>
        <w:footnoteRef/>
      </w:r>
      <w:r>
        <w:t xml:space="preserve"> Regionalny Program Operacyjny Województwa Kujawsko-Pomorskiego na lata 2014-2020 [nr CCI 2014PL16M2OP002]</w:t>
      </w:r>
      <w:r w:rsidRPr="00702B11">
        <w:t xml:space="preserve"> </w:t>
      </w:r>
      <w:hyperlink r:id="rId3" w:history="1">
        <w:r w:rsidRPr="00334DCB">
          <w:rPr>
            <w:rStyle w:val="Hipercze"/>
          </w:rPr>
          <w:t>http://archiwum.kujawsko-pomorskie.pl/pliki/wiadomosci/zit/dokumenty/Regionalny_Program_Operacyjny_Wojewodztwa_Kujawsko-Pomorskiego_v3_0.pdf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BD2" w:rsidRPr="009F6C04" w:rsidRDefault="00553B62" w:rsidP="00A03792">
    <w:pPr>
      <w:pStyle w:val="Nagwek"/>
      <w:pBdr>
        <w:bottom w:val="single" w:sz="4" w:space="1" w:color="auto"/>
      </w:pBdr>
      <w:tabs>
        <w:tab w:val="clear" w:pos="4536"/>
        <w:tab w:val="right" w:pos="7938"/>
      </w:tabs>
      <w:jc w:val="right"/>
      <w:rPr>
        <w:caps/>
        <w:szCs w:val="16"/>
        <w:lang w:val="pt-PT"/>
      </w:rPr>
    </w:pPr>
    <w:r>
      <w:rPr>
        <w:caps/>
        <w:sz w:val="16"/>
        <w:szCs w:val="16"/>
        <w:lang w:val="pt-PT"/>
      </w:rPr>
      <w:t>Joanna kawa, Tomasz mania</w:t>
    </w:r>
  </w:p>
  <w:p w:rsidR="00DF1BD2" w:rsidRDefault="00DF1BD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BD2" w:rsidRPr="007F3E21" w:rsidRDefault="00A04FBF" w:rsidP="00A03792">
    <w:pPr>
      <w:pStyle w:val="Nagwek"/>
      <w:pBdr>
        <w:bottom w:val="single" w:sz="4" w:space="1" w:color="auto"/>
      </w:pBdr>
      <w:tabs>
        <w:tab w:val="clear" w:pos="4536"/>
        <w:tab w:val="right" w:pos="7938"/>
      </w:tabs>
      <w:jc w:val="right"/>
      <w:rPr>
        <w:caps/>
        <w:sz w:val="14"/>
        <w:szCs w:val="14"/>
        <w:lang w:val="pt-PT"/>
      </w:rPr>
    </w:pPr>
    <w:r>
      <w:rPr>
        <w:caps/>
        <w:sz w:val="14"/>
        <w:szCs w:val="14"/>
        <w:lang w:val="pt-PT"/>
      </w:rPr>
      <w:t>Pezwgląd programów wsparcia instalacji oze w woj. kujawsko-pomorskim.</w:t>
    </w:r>
  </w:p>
  <w:p w:rsidR="00DF1BD2" w:rsidRDefault="00DF1BD2">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BD2" w:rsidRPr="00201776" w:rsidRDefault="00DF1BD2" w:rsidP="00DF1BD2">
    <w:pPr>
      <w:pStyle w:val="Nagwek"/>
      <w:pBdr>
        <w:bottom w:val="single" w:sz="4" w:space="1" w:color="auto"/>
      </w:pBdr>
      <w:tabs>
        <w:tab w:val="clear" w:pos="4536"/>
        <w:tab w:val="right" w:pos="7938"/>
      </w:tabs>
    </w:pPr>
    <w:r w:rsidRPr="00DD0282">
      <w:rPr>
        <w:caps/>
        <w:szCs w:val="16"/>
        <w:lang w:val="pt-PT"/>
      </w:rPr>
      <w:tab/>
    </w:r>
  </w:p>
  <w:p w:rsidR="00DF1BD2" w:rsidRDefault="00DF1BD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91042"/>
    <w:multiLevelType w:val="hybridMultilevel"/>
    <w:tmpl w:val="D0FE380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
    <w:nsid w:val="09AF1F37"/>
    <w:multiLevelType w:val="hybridMultilevel"/>
    <w:tmpl w:val="56B01DD8"/>
    <w:lvl w:ilvl="0" w:tplc="9642E408">
      <w:start w:val="1"/>
      <w:numFmt w:val="bullet"/>
      <w:lvlText w:val=""/>
      <w:lvlJc w:val="left"/>
      <w:pPr>
        <w:ind w:left="1776" w:hanging="360"/>
      </w:pPr>
      <w:rPr>
        <w:rFonts w:ascii="Symbol" w:hAnsi="Symbol" w:hint="default"/>
      </w:rPr>
    </w:lvl>
    <w:lvl w:ilvl="1" w:tplc="9642E408">
      <w:start w:val="1"/>
      <w:numFmt w:val="bullet"/>
      <w:lvlText w:val=""/>
      <w:lvlJc w:val="left"/>
      <w:pPr>
        <w:ind w:left="2496" w:hanging="360"/>
      </w:pPr>
      <w:rPr>
        <w:rFonts w:ascii="Symbol" w:hAnsi="Symbol" w:hint="default"/>
      </w:r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
    <w:nsid w:val="0B184DA4"/>
    <w:multiLevelType w:val="hybridMultilevel"/>
    <w:tmpl w:val="B8DC6EC6"/>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nsid w:val="0DD67A62"/>
    <w:multiLevelType w:val="hybridMultilevel"/>
    <w:tmpl w:val="B9322D82"/>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
    <w:nsid w:val="17500C04"/>
    <w:multiLevelType w:val="hybridMultilevel"/>
    <w:tmpl w:val="3BCEAD5A"/>
    <w:lvl w:ilvl="0" w:tplc="D2EAD79E">
      <w:start w:val="1"/>
      <w:numFmt w:val="decimal"/>
      <w:lvlText w:val="%1."/>
      <w:lvlJc w:val="left"/>
      <w:pPr>
        <w:ind w:left="720" w:hanging="360"/>
      </w:pPr>
      <w:rPr>
        <w:b/>
      </w:rPr>
    </w:lvl>
    <w:lvl w:ilvl="1" w:tplc="04150001">
      <w:start w:val="1"/>
      <w:numFmt w:val="bullet"/>
      <w:lvlText w:val=""/>
      <w:lvlJc w:val="left"/>
      <w:pPr>
        <w:ind w:left="1470" w:hanging="39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8443038"/>
    <w:multiLevelType w:val="hybridMultilevel"/>
    <w:tmpl w:val="271CC250"/>
    <w:lvl w:ilvl="0" w:tplc="D2EAD79E">
      <w:start w:val="1"/>
      <w:numFmt w:val="decimal"/>
      <w:lvlText w:val="%1."/>
      <w:lvlJc w:val="left"/>
      <w:pPr>
        <w:ind w:left="720" w:hanging="360"/>
      </w:pPr>
      <w:rPr>
        <w:b/>
      </w:rPr>
    </w:lvl>
    <w:lvl w:ilvl="1" w:tplc="EBC44000">
      <w:start w:val="1"/>
      <w:numFmt w:val="decimal"/>
      <w:lvlText w:val="%2)"/>
      <w:lvlJc w:val="left"/>
      <w:pPr>
        <w:ind w:left="1470" w:hanging="3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91035CD"/>
    <w:multiLevelType w:val="hybridMultilevel"/>
    <w:tmpl w:val="77F09FF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nsid w:val="1FD569CE"/>
    <w:multiLevelType w:val="hybridMultilevel"/>
    <w:tmpl w:val="AF1A22B6"/>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8">
    <w:nsid w:val="21A20467"/>
    <w:multiLevelType w:val="hybridMultilevel"/>
    <w:tmpl w:val="033081C6"/>
    <w:lvl w:ilvl="0" w:tplc="04150001">
      <w:start w:val="1"/>
      <w:numFmt w:val="bullet"/>
      <w:lvlText w:val=""/>
      <w:lvlJc w:val="left"/>
      <w:pPr>
        <w:ind w:left="1428" w:hanging="360"/>
      </w:pPr>
      <w:rPr>
        <w:rFonts w:ascii="Symbol" w:hAnsi="Symbol"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
    <w:nsid w:val="242265FC"/>
    <w:multiLevelType w:val="hybridMultilevel"/>
    <w:tmpl w:val="84F4FE5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0">
    <w:nsid w:val="2B37060A"/>
    <w:multiLevelType w:val="hybridMultilevel"/>
    <w:tmpl w:val="CCAA1766"/>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1">
    <w:nsid w:val="2C817ABE"/>
    <w:multiLevelType w:val="hybridMultilevel"/>
    <w:tmpl w:val="1F58BB5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nsid w:val="3A410252"/>
    <w:multiLevelType w:val="hybridMultilevel"/>
    <w:tmpl w:val="B45E2D92"/>
    <w:lvl w:ilvl="0" w:tplc="D7B8333A">
      <w:start w:val="1"/>
      <w:numFmt w:val="decimal"/>
      <w:lvlText w:val="[%1]."/>
      <w:lvlJc w:val="left"/>
      <w:pPr>
        <w:ind w:left="1570" w:hanging="360"/>
      </w:pPr>
      <w:rPr>
        <w:rFonts w:hint="default"/>
        <w:sz w:val="16"/>
        <w:szCs w:val="16"/>
      </w:r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13">
    <w:nsid w:val="3AB57B23"/>
    <w:multiLevelType w:val="hybridMultilevel"/>
    <w:tmpl w:val="7E60860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nsid w:val="42EA5209"/>
    <w:multiLevelType w:val="hybridMultilevel"/>
    <w:tmpl w:val="767E196C"/>
    <w:lvl w:ilvl="0" w:tplc="0415000F">
      <w:start w:val="1"/>
      <w:numFmt w:val="decimal"/>
      <w:lvlText w:val="%1."/>
      <w:lvlJc w:val="left"/>
      <w:pPr>
        <w:ind w:left="1428" w:hanging="360"/>
      </w:pPr>
    </w:lvl>
    <w:lvl w:ilvl="1" w:tplc="04150019">
      <w:start w:val="1"/>
      <w:numFmt w:val="lowerLetter"/>
      <w:lvlText w:val="%2."/>
      <w:lvlJc w:val="left"/>
      <w:pPr>
        <w:ind w:left="2148" w:hanging="360"/>
      </w:pPr>
    </w:lvl>
    <w:lvl w:ilvl="2" w:tplc="A080EAE4">
      <w:start w:val="2008"/>
      <w:numFmt w:val="decimal"/>
      <w:lvlText w:val="%3"/>
      <w:lvlJc w:val="left"/>
      <w:pPr>
        <w:ind w:left="3108" w:hanging="420"/>
      </w:pPr>
      <w:rPr>
        <w:rFonts w:hint="default"/>
      </w:rPr>
    </w:lvl>
    <w:lvl w:ilvl="3" w:tplc="06C89D08">
      <w:start w:val="12"/>
      <w:numFmt w:val="upperLetter"/>
      <w:lvlText w:val="%4)"/>
      <w:lvlJc w:val="left"/>
      <w:pPr>
        <w:ind w:left="3588" w:hanging="360"/>
      </w:pPr>
      <w:rPr>
        <w:rFonts w:asciiTheme="minorHAnsi" w:eastAsia="Arial-BoldMT" w:cs="Arial-BoldMT" w:hint="default"/>
        <w:b/>
      </w:rPr>
    </w:lvl>
    <w:lvl w:ilvl="4" w:tplc="04150017">
      <w:start w:val="1"/>
      <w:numFmt w:val="lowerLetter"/>
      <w:lvlText w:val="%5)"/>
      <w:lvlJc w:val="left"/>
      <w:pPr>
        <w:ind w:left="4471" w:hanging="360"/>
      </w:pPr>
      <w:rPr>
        <w:rFonts w:hint="default"/>
        <w:b/>
      </w:r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5">
    <w:nsid w:val="48605B24"/>
    <w:multiLevelType w:val="hybridMultilevel"/>
    <w:tmpl w:val="9A54087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nsid w:val="57855BB9"/>
    <w:multiLevelType w:val="hybridMultilevel"/>
    <w:tmpl w:val="0A50FC22"/>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7">
    <w:nsid w:val="5D344E6F"/>
    <w:multiLevelType w:val="hybridMultilevel"/>
    <w:tmpl w:val="82EC0C5E"/>
    <w:lvl w:ilvl="0" w:tplc="0415000F">
      <w:start w:val="1"/>
      <w:numFmt w:val="decimal"/>
      <w:lvlText w:val="%1."/>
      <w:lvlJc w:val="left"/>
      <w:pPr>
        <w:ind w:left="1776" w:hanging="360"/>
      </w:pPr>
    </w:lvl>
    <w:lvl w:ilvl="1" w:tplc="04150019">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8">
    <w:nsid w:val="78897A88"/>
    <w:multiLevelType w:val="hybridMultilevel"/>
    <w:tmpl w:val="2B16422E"/>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9">
    <w:nsid w:val="7E2E7A42"/>
    <w:multiLevelType w:val="hybridMultilevel"/>
    <w:tmpl w:val="01CC599C"/>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abstractNumId w:val="12"/>
  </w:num>
  <w:num w:numId="2">
    <w:abstractNumId w:val="5"/>
  </w:num>
  <w:num w:numId="3">
    <w:abstractNumId w:val="14"/>
  </w:num>
  <w:num w:numId="4">
    <w:abstractNumId w:val="17"/>
  </w:num>
  <w:num w:numId="5">
    <w:abstractNumId w:val="11"/>
  </w:num>
  <w:num w:numId="6">
    <w:abstractNumId w:val="9"/>
  </w:num>
  <w:num w:numId="7">
    <w:abstractNumId w:val="15"/>
  </w:num>
  <w:num w:numId="8">
    <w:abstractNumId w:val="6"/>
  </w:num>
  <w:num w:numId="9">
    <w:abstractNumId w:val="10"/>
  </w:num>
  <w:num w:numId="10">
    <w:abstractNumId w:val="16"/>
  </w:num>
  <w:num w:numId="11">
    <w:abstractNumId w:val="13"/>
  </w:num>
  <w:num w:numId="12">
    <w:abstractNumId w:val="3"/>
  </w:num>
  <w:num w:numId="13">
    <w:abstractNumId w:val="19"/>
  </w:num>
  <w:num w:numId="14">
    <w:abstractNumId w:val="7"/>
  </w:num>
  <w:num w:numId="15">
    <w:abstractNumId w:val="18"/>
  </w:num>
  <w:num w:numId="16">
    <w:abstractNumId w:val="2"/>
  </w:num>
  <w:num w:numId="17">
    <w:abstractNumId w:val="0"/>
  </w:num>
  <w:num w:numId="18">
    <w:abstractNumId w:val="8"/>
  </w:num>
  <w:num w:numId="19">
    <w:abstractNumId w:val="4"/>
  </w:num>
  <w:num w:numId="20">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mirrorMargins/>
  <w:proofState w:spelling="clean"/>
  <w:defaultTabStop w:val="708"/>
  <w:hyphenationZone w:val="425"/>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A27"/>
    <w:rsid w:val="00000411"/>
    <w:rsid w:val="00010ADE"/>
    <w:rsid w:val="00015ADA"/>
    <w:rsid w:val="00026142"/>
    <w:rsid w:val="000350DF"/>
    <w:rsid w:val="00036069"/>
    <w:rsid w:val="000476DB"/>
    <w:rsid w:val="000543C5"/>
    <w:rsid w:val="0005563E"/>
    <w:rsid w:val="000638CB"/>
    <w:rsid w:val="00074702"/>
    <w:rsid w:val="00080D9E"/>
    <w:rsid w:val="00080F54"/>
    <w:rsid w:val="00083D69"/>
    <w:rsid w:val="000841D9"/>
    <w:rsid w:val="00086AE1"/>
    <w:rsid w:val="000878AE"/>
    <w:rsid w:val="00095488"/>
    <w:rsid w:val="00095E1E"/>
    <w:rsid w:val="00097B76"/>
    <w:rsid w:val="000A0251"/>
    <w:rsid w:val="000A0892"/>
    <w:rsid w:val="000A56F8"/>
    <w:rsid w:val="000B4A31"/>
    <w:rsid w:val="000C0D21"/>
    <w:rsid w:val="000C58EC"/>
    <w:rsid w:val="000D1D2B"/>
    <w:rsid w:val="000D2A01"/>
    <w:rsid w:val="000E42F2"/>
    <w:rsid w:val="000E43C5"/>
    <w:rsid w:val="000E7DAD"/>
    <w:rsid w:val="000F1BCF"/>
    <w:rsid w:val="000F6D82"/>
    <w:rsid w:val="00101593"/>
    <w:rsid w:val="00104FBC"/>
    <w:rsid w:val="00110E58"/>
    <w:rsid w:val="00120588"/>
    <w:rsid w:val="00127072"/>
    <w:rsid w:val="00130F21"/>
    <w:rsid w:val="00132DEE"/>
    <w:rsid w:val="00134949"/>
    <w:rsid w:val="00136CE0"/>
    <w:rsid w:val="00140FF8"/>
    <w:rsid w:val="001428DA"/>
    <w:rsid w:val="00147218"/>
    <w:rsid w:val="001509FC"/>
    <w:rsid w:val="0017198B"/>
    <w:rsid w:val="00173C94"/>
    <w:rsid w:val="001759B7"/>
    <w:rsid w:val="00197CF7"/>
    <w:rsid w:val="001B47AF"/>
    <w:rsid w:val="001C15F3"/>
    <w:rsid w:val="001C2197"/>
    <w:rsid w:val="001C290D"/>
    <w:rsid w:val="001C4F9C"/>
    <w:rsid w:val="001C64D8"/>
    <w:rsid w:val="001D13A0"/>
    <w:rsid w:val="001D36D9"/>
    <w:rsid w:val="001D4432"/>
    <w:rsid w:val="001D53E3"/>
    <w:rsid w:val="001D555B"/>
    <w:rsid w:val="001E0619"/>
    <w:rsid w:val="001E4461"/>
    <w:rsid w:val="001F7DE0"/>
    <w:rsid w:val="00201776"/>
    <w:rsid w:val="002057D4"/>
    <w:rsid w:val="00207072"/>
    <w:rsid w:val="0021078A"/>
    <w:rsid w:val="00211161"/>
    <w:rsid w:val="002177A0"/>
    <w:rsid w:val="00222FA8"/>
    <w:rsid w:val="00230742"/>
    <w:rsid w:val="0024210F"/>
    <w:rsid w:val="00243758"/>
    <w:rsid w:val="00247979"/>
    <w:rsid w:val="00250AAF"/>
    <w:rsid w:val="00251887"/>
    <w:rsid w:val="00251F07"/>
    <w:rsid w:val="00252AD3"/>
    <w:rsid w:val="002534A9"/>
    <w:rsid w:val="0026777D"/>
    <w:rsid w:val="002677E2"/>
    <w:rsid w:val="00284CD4"/>
    <w:rsid w:val="0029042B"/>
    <w:rsid w:val="0029162D"/>
    <w:rsid w:val="00296C22"/>
    <w:rsid w:val="00297E90"/>
    <w:rsid w:val="002A11A4"/>
    <w:rsid w:val="002A3565"/>
    <w:rsid w:val="002A5C28"/>
    <w:rsid w:val="002A6EF7"/>
    <w:rsid w:val="002B27AD"/>
    <w:rsid w:val="002C1C5A"/>
    <w:rsid w:val="002D30EB"/>
    <w:rsid w:val="002E04F8"/>
    <w:rsid w:val="002E246C"/>
    <w:rsid w:val="002E2A05"/>
    <w:rsid w:val="002E3F4C"/>
    <w:rsid w:val="002E6A57"/>
    <w:rsid w:val="002F39A3"/>
    <w:rsid w:val="00301044"/>
    <w:rsid w:val="00302DF4"/>
    <w:rsid w:val="00303BB2"/>
    <w:rsid w:val="00316824"/>
    <w:rsid w:val="00317671"/>
    <w:rsid w:val="00320A68"/>
    <w:rsid w:val="00323B1E"/>
    <w:rsid w:val="00327148"/>
    <w:rsid w:val="00327C25"/>
    <w:rsid w:val="00335B2F"/>
    <w:rsid w:val="00336E9D"/>
    <w:rsid w:val="00337997"/>
    <w:rsid w:val="003405E1"/>
    <w:rsid w:val="00342D0D"/>
    <w:rsid w:val="00345A6E"/>
    <w:rsid w:val="003509AC"/>
    <w:rsid w:val="00353DA4"/>
    <w:rsid w:val="00361221"/>
    <w:rsid w:val="00362BF7"/>
    <w:rsid w:val="003642A7"/>
    <w:rsid w:val="00365EAA"/>
    <w:rsid w:val="0037264A"/>
    <w:rsid w:val="003744C7"/>
    <w:rsid w:val="003803AD"/>
    <w:rsid w:val="003877AB"/>
    <w:rsid w:val="003B7C7E"/>
    <w:rsid w:val="003C0C66"/>
    <w:rsid w:val="003C45CC"/>
    <w:rsid w:val="003C7ACC"/>
    <w:rsid w:val="003D0044"/>
    <w:rsid w:val="004003C0"/>
    <w:rsid w:val="00404733"/>
    <w:rsid w:val="00412937"/>
    <w:rsid w:val="004136DC"/>
    <w:rsid w:val="00414C38"/>
    <w:rsid w:val="00426F00"/>
    <w:rsid w:val="00447ED4"/>
    <w:rsid w:val="004540A6"/>
    <w:rsid w:val="00455724"/>
    <w:rsid w:val="0046156B"/>
    <w:rsid w:val="004617B5"/>
    <w:rsid w:val="004638DF"/>
    <w:rsid w:val="0046576A"/>
    <w:rsid w:val="004671DD"/>
    <w:rsid w:val="0046730F"/>
    <w:rsid w:val="004738B8"/>
    <w:rsid w:val="00475759"/>
    <w:rsid w:val="00475E81"/>
    <w:rsid w:val="00480BF8"/>
    <w:rsid w:val="00480F9D"/>
    <w:rsid w:val="0048157E"/>
    <w:rsid w:val="00485245"/>
    <w:rsid w:val="004A1C06"/>
    <w:rsid w:val="004A3C27"/>
    <w:rsid w:val="004B0A35"/>
    <w:rsid w:val="004B61EB"/>
    <w:rsid w:val="004B73E4"/>
    <w:rsid w:val="004C0D4D"/>
    <w:rsid w:val="004C2FFF"/>
    <w:rsid w:val="004C3580"/>
    <w:rsid w:val="004C35E1"/>
    <w:rsid w:val="004C5A66"/>
    <w:rsid w:val="004C77A5"/>
    <w:rsid w:val="004C7CBB"/>
    <w:rsid w:val="004D0087"/>
    <w:rsid w:val="004D1C44"/>
    <w:rsid w:val="004E2F15"/>
    <w:rsid w:val="004E3AA7"/>
    <w:rsid w:val="004E4378"/>
    <w:rsid w:val="00501EA7"/>
    <w:rsid w:val="00515DEA"/>
    <w:rsid w:val="00515EAB"/>
    <w:rsid w:val="00520AA9"/>
    <w:rsid w:val="005263B3"/>
    <w:rsid w:val="005363A0"/>
    <w:rsid w:val="00544156"/>
    <w:rsid w:val="005459AA"/>
    <w:rsid w:val="00553B62"/>
    <w:rsid w:val="00564690"/>
    <w:rsid w:val="00565B0F"/>
    <w:rsid w:val="005710B8"/>
    <w:rsid w:val="005727A0"/>
    <w:rsid w:val="005804E4"/>
    <w:rsid w:val="00582544"/>
    <w:rsid w:val="00585223"/>
    <w:rsid w:val="005A5D8A"/>
    <w:rsid w:val="005B25E4"/>
    <w:rsid w:val="005B3623"/>
    <w:rsid w:val="005C196E"/>
    <w:rsid w:val="005D0834"/>
    <w:rsid w:val="005F0745"/>
    <w:rsid w:val="005F4E4C"/>
    <w:rsid w:val="005F6BE2"/>
    <w:rsid w:val="005F7620"/>
    <w:rsid w:val="00601B92"/>
    <w:rsid w:val="0060421D"/>
    <w:rsid w:val="006147E5"/>
    <w:rsid w:val="00630E0C"/>
    <w:rsid w:val="00634B47"/>
    <w:rsid w:val="00654566"/>
    <w:rsid w:val="00654DCB"/>
    <w:rsid w:val="00657899"/>
    <w:rsid w:val="00657E14"/>
    <w:rsid w:val="0066445E"/>
    <w:rsid w:val="00665654"/>
    <w:rsid w:val="00666E24"/>
    <w:rsid w:val="00666EA0"/>
    <w:rsid w:val="00672909"/>
    <w:rsid w:val="00674E24"/>
    <w:rsid w:val="00680A27"/>
    <w:rsid w:val="00682D8E"/>
    <w:rsid w:val="006863C6"/>
    <w:rsid w:val="0069082E"/>
    <w:rsid w:val="0069251F"/>
    <w:rsid w:val="006A18AB"/>
    <w:rsid w:val="006A73BE"/>
    <w:rsid w:val="006B073B"/>
    <w:rsid w:val="006B0AA9"/>
    <w:rsid w:val="006B4568"/>
    <w:rsid w:val="006B51FE"/>
    <w:rsid w:val="006B56BD"/>
    <w:rsid w:val="006C4387"/>
    <w:rsid w:val="006C79AA"/>
    <w:rsid w:val="006D740A"/>
    <w:rsid w:val="006E05F9"/>
    <w:rsid w:val="006E44D2"/>
    <w:rsid w:val="006E6390"/>
    <w:rsid w:val="006F0E9F"/>
    <w:rsid w:val="006F4D90"/>
    <w:rsid w:val="00702B11"/>
    <w:rsid w:val="00707402"/>
    <w:rsid w:val="00712336"/>
    <w:rsid w:val="007254A0"/>
    <w:rsid w:val="00726502"/>
    <w:rsid w:val="007268EE"/>
    <w:rsid w:val="00726C1A"/>
    <w:rsid w:val="007341F9"/>
    <w:rsid w:val="0074216C"/>
    <w:rsid w:val="00742A1E"/>
    <w:rsid w:val="00743328"/>
    <w:rsid w:val="00747D43"/>
    <w:rsid w:val="0075046B"/>
    <w:rsid w:val="0075094C"/>
    <w:rsid w:val="00750C14"/>
    <w:rsid w:val="00762ACE"/>
    <w:rsid w:val="007649D9"/>
    <w:rsid w:val="007938B2"/>
    <w:rsid w:val="00795B7F"/>
    <w:rsid w:val="007B3405"/>
    <w:rsid w:val="007C50CE"/>
    <w:rsid w:val="007C65DE"/>
    <w:rsid w:val="007C6B3C"/>
    <w:rsid w:val="007D418C"/>
    <w:rsid w:val="007D5C9A"/>
    <w:rsid w:val="007D7926"/>
    <w:rsid w:val="007E01F4"/>
    <w:rsid w:val="007E157F"/>
    <w:rsid w:val="007E53A8"/>
    <w:rsid w:val="007F3CB4"/>
    <w:rsid w:val="007F3E21"/>
    <w:rsid w:val="008050DC"/>
    <w:rsid w:val="00810D81"/>
    <w:rsid w:val="0081479F"/>
    <w:rsid w:val="00821A39"/>
    <w:rsid w:val="00821C43"/>
    <w:rsid w:val="0082427D"/>
    <w:rsid w:val="008369E7"/>
    <w:rsid w:val="008512BE"/>
    <w:rsid w:val="00851631"/>
    <w:rsid w:val="00853433"/>
    <w:rsid w:val="00853C8B"/>
    <w:rsid w:val="00856B11"/>
    <w:rsid w:val="00857975"/>
    <w:rsid w:val="00862D8F"/>
    <w:rsid w:val="00865CA1"/>
    <w:rsid w:val="00866488"/>
    <w:rsid w:val="00866CBA"/>
    <w:rsid w:val="00867F36"/>
    <w:rsid w:val="008801D5"/>
    <w:rsid w:val="0088418C"/>
    <w:rsid w:val="00896F7B"/>
    <w:rsid w:val="00897038"/>
    <w:rsid w:val="008A30BF"/>
    <w:rsid w:val="008B19AA"/>
    <w:rsid w:val="008B30ED"/>
    <w:rsid w:val="008C2FFF"/>
    <w:rsid w:val="008C43BA"/>
    <w:rsid w:val="008C7498"/>
    <w:rsid w:val="008D1BB5"/>
    <w:rsid w:val="008D2916"/>
    <w:rsid w:val="008D38E5"/>
    <w:rsid w:val="008E4777"/>
    <w:rsid w:val="008F2445"/>
    <w:rsid w:val="008F6575"/>
    <w:rsid w:val="00902981"/>
    <w:rsid w:val="00904231"/>
    <w:rsid w:val="00911917"/>
    <w:rsid w:val="009146D3"/>
    <w:rsid w:val="00923494"/>
    <w:rsid w:val="00923A1B"/>
    <w:rsid w:val="00933B76"/>
    <w:rsid w:val="009373AA"/>
    <w:rsid w:val="00937669"/>
    <w:rsid w:val="00954007"/>
    <w:rsid w:val="0095780F"/>
    <w:rsid w:val="0096142B"/>
    <w:rsid w:val="0096343E"/>
    <w:rsid w:val="00966D36"/>
    <w:rsid w:val="0097012C"/>
    <w:rsid w:val="00991973"/>
    <w:rsid w:val="00995549"/>
    <w:rsid w:val="00997774"/>
    <w:rsid w:val="009A41A1"/>
    <w:rsid w:val="009B0F93"/>
    <w:rsid w:val="009B225B"/>
    <w:rsid w:val="009B6C42"/>
    <w:rsid w:val="009E566D"/>
    <w:rsid w:val="009F2883"/>
    <w:rsid w:val="009F7669"/>
    <w:rsid w:val="00A03792"/>
    <w:rsid w:val="00A04FBF"/>
    <w:rsid w:val="00A0632E"/>
    <w:rsid w:val="00A11EAF"/>
    <w:rsid w:val="00A162F9"/>
    <w:rsid w:val="00A1736A"/>
    <w:rsid w:val="00A20079"/>
    <w:rsid w:val="00A22E01"/>
    <w:rsid w:val="00A24FCE"/>
    <w:rsid w:val="00A31DC1"/>
    <w:rsid w:val="00A32903"/>
    <w:rsid w:val="00A32CD6"/>
    <w:rsid w:val="00A36A9D"/>
    <w:rsid w:val="00A44C6C"/>
    <w:rsid w:val="00A46705"/>
    <w:rsid w:val="00A47020"/>
    <w:rsid w:val="00A531DD"/>
    <w:rsid w:val="00A5438B"/>
    <w:rsid w:val="00A57F70"/>
    <w:rsid w:val="00A61BD6"/>
    <w:rsid w:val="00A64B5E"/>
    <w:rsid w:val="00A73085"/>
    <w:rsid w:val="00A8613C"/>
    <w:rsid w:val="00AA044A"/>
    <w:rsid w:val="00AB1629"/>
    <w:rsid w:val="00AB65A4"/>
    <w:rsid w:val="00AC71E2"/>
    <w:rsid w:val="00AD17F0"/>
    <w:rsid w:val="00AD454B"/>
    <w:rsid w:val="00AE6B40"/>
    <w:rsid w:val="00AF17E0"/>
    <w:rsid w:val="00AF5647"/>
    <w:rsid w:val="00AF7761"/>
    <w:rsid w:val="00B00DA6"/>
    <w:rsid w:val="00B1037A"/>
    <w:rsid w:val="00B16FF4"/>
    <w:rsid w:val="00B22458"/>
    <w:rsid w:val="00B2288C"/>
    <w:rsid w:val="00B22BCF"/>
    <w:rsid w:val="00B354B6"/>
    <w:rsid w:val="00B42781"/>
    <w:rsid w:val="00B510D8"/>
    <w:rsid w:val="00B51DB3"/>
    <w:rsid w:val="00B561D4"/>
    <w:rsid w:val="00B57824"/>
    <w:rsid w:val="00B7490F"/>
    <w:rsid w:val="00B805A6"/>
    <w:rsid w:val="00B90B1B"/>
    <w:rsid w:val="00B91362"/>
    <w:rsid w:val="00B96761"/>
    <w:rsid w:val="00B96814"/>
    <w:rsid w:val="00BA2943"/>
    <w:rsid w:val="00BA31CA"/>
    <w:rsid w:val="00BA7700"/>
    <w:rsid w:val="00BC1E4B"/>
    <w:rsid w:val="00BC536A"/>
    <w:rsid w:val="00BD137A"/>
    <w:rsid w:val="00BD34D5"/>
    <w:rsid w:val="00BD5215"/>
    <w:rsid w:val="00BD609C"/>
    <w:rsid w:val="00BD76E0"/>
    <w:rsid w:val="00BE12E8"/>
    <w:rsid w:val="00BE53C4"/>
    <w:rsid w:val="00BE612B"/>
    <w:rsid w:val="00C0077E"/>
    <w:rsid w:val="00C0116F"/>
    <w:rsid w:val="00C02441"/>
    <w:rsid w:val="00C0287B"/>
    <w:rsid w:val="00C02E1A"/>
    <w:rsid w:val="00C03D14"/>
    <w:rsid w:val="00C06758"/>
    <w:rsid w:val="00C10F78"/>
    <w:rsid w:val="00C1636A"/>
    <w:rsid w:val="00C16A86"/>
    <w:rsid w:val="00C3142C"/>
    <w:rsid w:val="00C319A0"/>
    <w:rsid w:val="00C332FF"/>
    <w:rsid w:val="00C427D9"/>
    <w:rsid w:val="00C43323"/>
    <w:rsid w:val="00C5057A"/>
    <w:rsid w:val="00C52A96"/>
    <w:rsid w:val="00C545A9"/>
    <w:rsid w:val="00C56A41"/>
    <w:rsid w:val="00C65555"/>
    <w:rsid w:val="00C67ED6"/>
    <w:rsid w:val="00C703D5"/>
    <w:rsid w:val="00C7100E"/>
    <w:rsid w:val="00C754CC"/>
    <w:rsid w:val="00C81630"/>
    <w:rsid w:val="00C83935"/>
    <w:rsid w:val="00C851A5"/>
    <w:rsid w:val="00C860F0"/>
    <w:rsid w:val="00C877FF"/>
    <w:rsid w:val="00C91074"/>
    <w:rsid w:val="00C917EA"/>
    <w:rsid w:val="00C957B5"/>
    <w:rsid w:val="00C97B0C"/>
    <w:rsid w:val="00CA2FBD"/>
    <w:rsid w:val="00CB05F7"/>
    <w:rsid w:val="00CC6DFF"/>
    <w:rsid w:val="00CD5F2A"/>
    <w:rsid w:val="00CE4279"/>
    <w:rsid w:val="00CF44B3"/>
    <w:rsid w:val="00CF758F"/>
    <w:rsid w:val="00D04C2C"/>
    <w:rsid w:val="00D13B5F"/>
    <w:rsid w:val="00D13FE3"/>
    <w:rsid w:val="00D274E3"/>
    <w:rsid w:val="00D35650"/>
    <w:rsid w:val="00D43CC3"/>
    <w:rsid w:val="00D53F49"/>
    <w:rsid w:val="00D5671C"/>
    <w:rsid w:val="00D67B01"/>
    <w:rsid w:val="00D70975"/>
    <w:rsid w:val="00D73B96"/>
    <w:rsid w:val="00D77383"/>
    <w:rsid w:val="00D8050E"/>
    <w:rsid w:val="00D82A16"/>
    <w:rsid w:val="00DA2D4A"/>
    <w:rsid w:val="00DB1887"/>
    <w:rsid w:val="00DB5969"/>
    <w:rsid w:val="00DB635A"/>
    <w:rsid w:val="00DC35D2"/>
    <w:rsid w:val="00DD03AD"/>
    <w:rsid w:val="00DD07BB"/>
    <w:rsid w:val="00DD1D7A"/>
    <w:rsid w:val="00DD5B0E"/>
    <w:rsid w:val="00DD7006"/>
    <w:rsid w:val="00DE11B2"/>
    <w:rsid w:val="00DE4286"/>
    <w:rsid w:val="00DF1BD2"/>
    <w:rsid w:val="00DF1F62"/>
    <w:rsid w:val="00DF311C"/>
    <w:rsid w:val="00DF7B70"/>
    <w:rsid w:val="00E05473"/>
    <w:rsid w:val="00E14298"/>
    <w:rsid w:val="00E23800"/>
    <w:rsid w:val="00E238FB"/>
    <w:rsid w:val="00E2789A"/>
    <w:rsid w:val="00E315AE"/>
    <w:rsid w:val="00E31646"/>
    <w:rsid w:val="00E47C61"/>
    <w:rsid w:val="00E5389B"/>
    <w:rsid w:val="00E565EE"/>
    <w:rsid w:val="00E5751A"/>
    <w:rsid w:val="00E63223"/>
    <w:rsid w:val="00E641BC"/>
    <w:rsid w:val="00E642DC"/>
    <w:rsid w:val="00E712F7"/>
    <w:rsid w:val="00E73336"/>
    <w:rsid w:val="00E74AF7"/>
    <w:rsid w:val="00E74B9F"/>
    <w:rsid w:val="00E8031C"/>
    <w:rsid w:val="00E84AB4"/>
    <w:rsid w:val="00E84BD4"/>
    <w:rsid w:val="00E92D9B"/>
    <w:rsid w:val="00E94047"/>
    <w:rsid w:val="00E97EE5"/>
    <w:rsid w:val="00EA0882"/>
    <w:rsid w:val="00EA0C2A"/>
    <w:rsid w:val="00EA10C5"/>
    <w:rsid w:val="00EA2A17"/>
    <w:rsid w:val="00EB050D"/>
    <w:rsid w:val="00EB0FEE"/>
    <w:rsid w:val="00EB1933"/>
    <w:rsid w:val="00EB3AB9"/>
    <w:rsid w:val="00EC1986"/>
    <w:rsid w:val="00EC1E4D"/>
    <w:rsid w:val="00ED1E6A"/>
    <w:rsid w:val="00EE0762"/>
    <w:rsid w:val="00F0057C"/>
    <w:rsid w:val="00F00C17"/>
    <w:rsid w:val="00F02725"/>
    <w:rsid w:val="00F0352E"/>
    <w:rsid w:val="00F1639A"/>
    <w:rsid w:val="00F21962"/>
    <w:rsid w:val="00F21C26"/>
    <w:rsid w:val="00F25014"/>
    <w:rsid w:val="00F33801"/>
    <w:rsid w:val="00F611FF"/>
    <w:rsid w:val="00F6364B"/>
    <w:rsid w:val="00F67C1E"/>
    <w:rsid w:val="00F7274B"/>
    <w:rsid w:val="00F81ADE"/>
    <w:rsid w:val="00F85853"/>
    <w:rsid w:val="00F91EF9"/>
    <w:rsid w:val="00F9248E"/>
    <w:rsid w:val="00F95209"/>
    <w:rsid w:val="00F974C3"/>
    <w:rsid w:val="00FA1225"/>
    <w:rsid w:val="00FA443E"/>
    <w:rsid w:val="00FA7FF7"/>
    <w:rsid w:val="00FB20CD"/>
    <w:rsid w:val="00FB239B"/>
    <w:rsid w:val="00FC5D1C"/>
    <w:rsid w:val="00FD0428"/>
    <w:rsid w:val="00FD17A7"/>
    <w:rsid w:val="00FE597A"/>
    <w:rsid w:val="00FF5F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20"/>
        <w:ind w:left="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0A27"/>
    <w:pPr>
      <w:spacing w:after="0"/>
      <w:ind w:left="0"/>
      <w:jc w:val="left"/>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autoRedefine/>
    <w:uiPriority w:val="99"/>
    <w:unhideWhenUsed/>
    <w:qFormat/>
    <w:rsid w:val="009F2883"/>
    <w:pPr>
      <w:spacing w:after="200" w:line="276" w:lineRule="auto"/>
      <w:jc w:val="both"/>
    </w:pPr>
    <w:rPr>
      <w:i/>
      <w:sz w:val="12"/>
    </w:rPr>
  </w:style>
  <w:style w:type="character" w:customStyle="1" w:styleId="TekstprzypisudolnegoZnak">
    <w:name w:val="Tekst przypisu dolnego Znak"/>
    <w:basedOn w:val="Domylnaczcionkaakapitu"/>
    <w:link w:val="Tekstprzypisudolnego"/>
    <w:uiPriority w:val="99"/>
    <w:rsid w:val="009F2883"/>
    <w:rPr>
      <w:rFonts w:ascii="Times New Roman" w:eastAsia="Times New Roman" w:hAnsi="Times New Roman" w:cs="Times New Roman"/>
      <w:i/>
      <w:sz w:val="12"/>
      <w:szCs w:val="24"/>
      <w:lang w:eastAsia="pl-PL"/>
    </w:rPr>
  </w:style>
  <w:style w:type="character" w:styleId="Odwoanieprzypisudolnego">
    <w:name w:val="footnote reference"/>
    <w:basedOn w:val="Domylnaczcionkaakapitu"/>
    <w:uiPriority w:val="99"/>
    <w:semiHidden/>
    <w:unhideWhenUsed/>
    <w:rsid w:val="00C0287B"/>
    <w:rPr>
      <w:vertAlign w:val="superscript"/>
    </w:rPr>
  </w:style>
  <w:style w:type="paragraph" w:styleId="Tekstdymka">
    <w:name w:val="Balloon Text"/>
    <w:basedOn w:val="Normalny"/>
    <w:link w:val="TekstdymkaZnak"/>
    <w:uiPriority w:val="99"/>
    <w:semiHidden/>
    <w:unhideWhenUsed/>
    <w:rsid w:val="000E43C5"/>
    <w:rPr>
      <w:rFonts w:ascii="Tahoma" w:hAnsi="Tahoma" w:cs="Tahoma"/>
      <w:sz w:val="16"/>
      <w:szCs w:val="16"/>
    </w:rPr>
  </w:style>
  <w:style w:type="character" w:customStyle="1" w:styleId="TekstdymkaZnak">
    <w:name w:val="Tekst dymka Znak"/>
    <w:basedOn w:val="Domylnaczcionkaakapitu"/>
    <w:link w:val="Tekstdymka"/>
    <w:uiPriority w:val="99"/>
    <w:semiHidden/>
    <w:rsid w:val="000E43C5"/>
    <w:rPr>
      <w:rFonts w:ascii="Tahoma" w:eastAsia="Times New Roman" w:hAnsi="Tahoma" w:cs="Tahoma"/>
      <w:sz w:val="16"/>
      <w:szCs w:val="16"/>
      <w:lang w:eastAsia="pl-PL"/>
    </w:rPr>
  </w:style>
  <w:style w:type="paragraph" w:styleId="Nagwek">
    <w:name w:val="header"/>
    <w:basedOn w:val="Normalny"/>
    <w:link w:val="NagwekZnak"/>
    <w:uiPriority w:val="99"/>
    <w:unhideWhenUsed/>
    <w:rsid w:val="00E92D9B"/>
    <w:pPr>
      <w:tabs>
        <w:tab w:val="center" w:pos="4536"/>
        <w:tab w:val="right" w:pos="9072"/>
      </w:tabs>
    </w:pPr>
  </w:style>
  <w:style w:type="character" w:customStyle="1" w:styleId="NagwekZnak">
    <w:name w:val="Nagłówek Znak"/>
    <w:basedOn w:val="Domylnaczcionkaakapitu"/>
    <w:link w:val="Nagwek"/>
    <w:uiPriority w:val="99"/>
    <w:rsid w:val="00E92D9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92D9B"/>
    <w:pPr>
      <w:tabs>
        <w:tab w:val="center" w:pos="4536"/>
        <w:tab w:val="right" w:pos="9072"/>
      </w:tabs>
    </w:pPr>
  </w:style>
  <w:style w:type="character" w:customStyle="1" w:styleId="StopkaZnak">
    <w:name w:val="Stopka Znak"/>
    <w:basedOn w:val="Domylnaczcionkaakapitu"/>
    <w:link w:val="Stopka"/>
    <w:uiPriority w:val="99"/>
    <w:rsid w:val="00E92D9B"/>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902981"/>
    <w:pPr>
      <w:spacing w:before="100" w:beforeAutospacing="1" w:after="100" w:afterAutospacing="1"/>
    </w:pPr>
  </w:style>
  <w:style w:type="character" w:customStyle="1" w:styleId="apple-converted-space">
    <w:name w:val="apple-converted-space"/>
    <w:basedOn w:val="Domylnaczcionkaakapitu"/>
    <w:rsid w:val="00902981"/>
  </w:style>
  <w:style w:type="character" w:styleId="Pogrubienie">
    <w:name w:val="Strong"/>
    <w:basedOn w:val="Domylnaczcionkaakapitu"/>
    <w:uiPriority w:val="22"/>
    <w:qFormat/>
    <w:rsid w:val="00902981"/>
    <w:rPr>
      <w:b/>
      <w:bCs/>
    </w:rPr>
  </w:style>
  <w:style w:type="paragraph" w:styleId="Akapitzlist">
    <w:name w:val="List Paragraph"/>
    <w:basedOn w:val="Normalny"/>
    <w:uiPriority w:val="34"/>
    <w:qFormat/>
    <w:rsid w:val="00475759"/>
    <w:pPr>
      <w:ind w:left="720"/>
      <w:contextualSpacing/>
    </w:pPr>
  </w:style>
  <w:style w:type="paragraph" w:customStyle="1" w:styleId="Default">
    <w:name w:val="Default"/>
    <w:rsid w:val="00475759"/>
    <w:pPr>
      <w:autoSpaceDE w:val="0"/>
      <w:autoSpaceDN w:val="0"/>
      <w:adjustRightInd w:val="0"/>
      <w:spacing w:after="0"/>
      <w:ind w:left="0"/>
      <w:jc w:val="left"/>
    </w:pPr>
    <w:rPr>
      <w:rFonts w:ascii="Arial" w:hAnsi="Arial" w:cs="Arial"/>
      <w:color w:val="000000"/>
      <w:sz w:val="24"/>
      <w:szCs w:val="24"/>
    </w:rPr>
  </w:style>
  <w:style w:type="character" w:styleId="Hipercze">
    <w:name w:val="Hyperlink"/>
    <w:rsid w:val="00682D8E"/>
    <w:rPr>
      <w:color w:val="0000FF"/>
      <w:u w:val="single"/>
    </w:rPr>
  </w:style>
  <w:style w:type="paragraph" w:customStyle="1" w:styleId="ZwykyTekst">
    <w:name w:val="ZwykyTekst"/>
    <w:basedOn w:val="Normalny"/>
    <w:rsid w:val="00601B92"/>
    <w:pPr>
      <w:suppressAutoHyphens/>
      <w:ind w:firstLine="360"/>
      <w:jc w:val="both"/>
    </w:pPr>
    <w:rPr>
      <w:sz w:val="20"/>
      <w:szCs w:val="20"/>
      <w:lang w:eastAsia="ar-SA"/>
    </w:rPr>
  </w:style>
  <w:style w:type="paragraph" w:styleId="Mapadokumentu">
    <w:name w:val="Document Map"/>
    <w:basedOn w:val="Normalny"/>
    <w:link w:val="MapadokumentuZnak"/>
    <w:uiPriority w:val="99"/>
    <w:semiHidden/>
    <w:unhideWhenUsed/>
    <w:rsid w:val="004C77A5"/>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4C77A5"/>
    <w:rPr>
      <w:rFonts w:ascii="Tahoma" w:eastAsia="Times New Roman" w:hAnsi="Tahoma" w:cs="Tahoma"/>
      <w:sz w:val="16"/>
      <w:szCs w:val="16"/>
      <w:lang w:eastAsia="pl-PL"/>
    </w:rPr>
  </w:style>
  <w:style w:type="character" w:styleId="Uwydatnienie">
    <w:name w:val="Emphasis"/>
    <w:basedOn w:val="Domylnaczcionkaakapitu"/>
    <w:uiPriority w:val="20"/>
    <w:qFormat/>
    <w:rsid w:val="007C6B3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20"/>
        <w:ind w:left="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0A27"/>
    <w:pPr>
      <w:spacing w:after="0"/>
      <w:ind w:left="0"/>
      <w:jc w:val="left"/>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autoRedefine/>
    <w:uiPriority w:val="99"/>
    <w:unhideWhenUsed/>
    <w:qFormat/>
    <w:rsid w:val="009F2883"/>
    <w:pPr>
      <w:spacing w:after="200" w:line="276" w:lineRule="auto"/>
      <w:jc w:val="both"/>
    </w:pPr>
    <w:rPr>
      <w:i/>
      <w:sz w:val="12"/>
    </w:rPr>
  </w:style>
  <w:style w:type="character" w:customStyle="1" w:styleId="TekstprzypisudolnegoZnak">
    <w:name w:val="Tekst przypisu dolnego Znak"/>
    <w:basedOn w:val="Domylnaczcionkaakapitu"/>
    <w:link w:val="Tekstprzypisudolnego"/>
    <w:uiPriority w:val="99"/>
    <w:rsid w:val="009F2883"/>
    <w:rPr>
      <w:rFonts w:ascii="Times New Roman" w:eastAsia="Times New Roman" w:hAnsi="Times New Roman" w:cs="Times New Roman"/>
      <w:i/>
      <w:sz w:val="12"/>
      <w:szCs w:val="24"/>
      <w:lang w:eastAsia="pl-PL"/>
    </w:rPr>
  </w:style>
  <w:style w:type="character" w:styleId="Odwoanieprzypisudolnego">
    <w:name w:val="footnote reference"/>
    <w:basedOn w:val="Domylnaczcionkaakapitu"/>
    <w:uiPriority w:val="99"/>
    <w:semiHidden/>
    <w:unhideWhenUsed/>
    <w:rsid w:val="00C0287B"/>
    <w:rPr>
      <w:vertAlign w:val="superscript"/>
    </w:rPr>
  </w:style>
  <w:style w:type="paragraph" w:styleId="Tekstdymka">
    <w:name w:val="Balloon Text"/>
    <w:basedOn w:val="Normalny"/>
    <w:link w:val="TekstdymkaZnak"/>
    <w:uiPriority w:val="99"/>
    <w:semiHidden/>
    <w:unhideWhenUsed/>
    <w:rsid w:val="000E43C5"/>
    <w:rPr>
      <w:rFonts w:ascii="Tahoma" w:hAnsi="Tahoma" w:cs="Tahoma"/>
      <w:sz w:val="16"/>
      <w:szCs w:val="16"/>
    </w:rPr>
  </w:style>
  <w:style w:type="character" w:customStyle="1" w:styleId="TekstdymkaZnak">
    <w:name w:val="Tekst dymka Znak"/>
    <w:basedOn w:val="Domylnaczcionkaakapitu"/>
    <w:link w:val="Tekstdymka"/>
    <w:uiPriority w:val="99"/>
    <w:semiHidden/>
    <w:rsid w:val="000E43C5"/>
    <w:rPr>
      <w:rFonts w:ascii="Tahoma" w:eastAsia="Times New Roman" w:hAnsi="Tahoma" w:cs="Tahoma"/>
      <w:sz w:val="16"/>
      <w:szCs w:val="16"/>
      <w:lang w:eastAsia="pl-PL"/>
    </w:rPr>
  </w:style>
  <w:style w:type="paragraph" w:styleId="Nagwek">
    <w:name w:val="header"/>
    <w:basedOn w:val="Normalny"/>
    <w:link w:val="NagwekZnak"/>
    <w:uiPriority w:val="99"/>
    <w:unhideWhenUsed/>
    <w:rsid w:val="00E92D9B"/>
    <w:pPr>
      <w:tabs>
        <w:tab w:val="center" w:pos="4536"/>
        <w:tab w:val="right" w:pos="9072"/>
      </w:tabs>
    </w:pPr>
  </w:style>
  <w:style w:type="character" w:customStyle="1" w:styleId="NagwekZnak">
    <w:name w:val="Nagłówek Znak"/>
    <w:basedOn w:val="Domylnaczcionkaakapitu"/>
    <w:link w:val="Nagwek"/>
    <w:uiPriority w:val="99"/>
    <w:rsid w:val="00E92D9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92D9B"/>
    <w:pPr>
      <w:tabs>
        <w:tab w:val="center" w:pos="4536"/>
        <w:tab w:val="right" w:pos="9072"/>
      </w:tabs>
    </w:pPr>
  </w:style>
  <w:style w:type="character" w:customStyle="1" w:styleId="StopkaZnak">
    <w:name w:val="Stopka Znak"/>
    <w:basedOn w:val="Domylnaczcionkaakapitu"/>
    <w:link w:val="Stopka"/>
    <w:uiPriority w:val="99"/>
    <w:rsid w:val="00E92D9B"/>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902981"/>
    <w:pPr>
      <w:spacing w:before="100" w:beforeAutospacing="1" w:after="100" w:afterAutospacing="1"/>
    </w:pPr>
  </w:style>
  <w:style w:type="character" w:customStyle="1" w:styleId="apple-converted-space">
    <w:name w:val="apple-converted-space"/>
    <w:basedOn w:val="Domylnaczcionkaakapitu"/>
    <w:rsid w:val="00902981"/>
  </w:style>
  <w:style w:type="character" w:styleId="Pogrubienie">
    <w:name w:val="Strong"/>
    <w:basedOn w:val="Domylnaczcionkaakapitu"/>
    <w:uiPriority w:val="22"/>
    <w:qFormat/>
    <w:rsid w:val="00902981"/>
    <w:rPr>
      <w:b/>
      <w:bCs/>
    </w:rPr>
  </w:style>
  <w:style w:type="paragraph" w:styleId="Akapitzlist">
    <w:name w:val="List Paragraph"/>
    <w:basedOn w:val="Normalny"/>
    <w:uiPriority w:val="34"/>
    <w:qFormat/>
    <w:rsid w:val="00475759"/>
    <w:pPr>
      <w:ind w:left="720"/>
      <w:contextualSpacing/>
    </w:pPr>
  </w:style>
  <w:style w:type="paragraph" w:customStyle="1" w:styleId="Default">
    <w:name w:val="Default"/>
    <w:rsid w:val="00475759"/>
    <w:pPr>
      <w:autoSpaceDE w:val="0"/>
      <w:autoSpaceDN w:val="0"/>
      <w:adjustRightInd w:val="0"/>
      <w:spacing w:after="0"/>
      <w:ind w:left="0"/>
      <w:jc w:val="left"/>
    </w:pPr>
    <w:rPr>
      <w:rFonts w:ascii="Arial" w:hAnsi="Arial" w:cs="Arial"/>
      <w:color w:val="000000"/>
      <w:sz w:val="24"/>
      <w:szCs w:val="24"/>
    </w:rPr>
  </w:style>
  <w:style w:type="character" w:styleId="Hipercze">
    <w:name w:val="Hyperlink"/>
    <w:rsid w:val="00682D8E"/>
    <w:rPr>
      <w:color w:val="0000FF"/>
      <w:u w:val="single"/>
    </w:rPr>
  </w:style>
  <w:style w:type="paragraph" w:customStyle="1" w:styleId="ZwykyTekst">
    <w:name w:val="ZwykyTekst"/>
    <w:basedOn w:val="Normalny"/>
    <w:rsid w:val="00601B92"/>
    <w:pPr>
      <w:suppressAutoHyphens/>
      <w:ind w:firstLine="360"/>
      <w:jc w:val="both"/>
    </w:pPr>
    <w:rPr>
      <w:sz w:val="20"/>
      <w:szCs w:val="20"/>
      <w:lang w:eastAsia="ar-SA"/>
    </w:rPr>
  </w:style>
  <w:style w:type="paragraph" w:styleId="Mapadokumentu">
    <w:name w:val="Document Map"/>
    <w:basedOn w:val="Normalny"/>
    <w:link w:val="MapadokumentuZnak"/>
    <w:uiPriority w:val="99"/>
    <w:semiHidden/>
    <w:unhideWhenUsed/>
    <w:rsid w:val="004C77A5"/>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4C77A5"/>
    <w:rPr>
      <w:rFonts w:ascii="Tahoma" w:eastAsia="Times New Roman" w:hAnsi="Tahoma" w:cs="Tahoma"/>
      <w:sz w:val="16"/>
      <w:szCs w:val="16"/>
      <w:lang w:eastAsia="pl-PL"/>
    </w:rPr>
  </w:style>
  <w:style w:type="character" w:styleId="Uwydatnienie">
    <w:name w:val="Emphasis"/>
    <w:basedOn w:val="Domylnaczcionkaakapitu"/>
    <w:uiPriority w:val="20"/>
    <w:qFormat/>
    <w:rsid w:val="007C6B3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714">
      <w:bodyDiv w:val="1"/>
      <w:marLeft w:val="0"/>
      <w:marRight w:val="0"/>
      <w:marTop w:val="0"/>
      <w:marBottom w:val="0"/>
      <w:divBdr>
        <w:top w:val="none" w:sz="0" w:space="0" w:color="auto"/>
        <w:left w:val="none" w:sz="0" w:space="0" w:color="auto"/>
        <w:bottom w:val="none" w:sz="0" w:space="0" w:color="auto"/>
        <w:right w:val="none" w:sz="0" w:space="0" w:color="auto"/>
      </w:divBdr>
    </w:div>
    <w:div w:id="212424903">
      <w:bodyDiv w:val="1"/>
      <w:marLeft w:val="0"/>
      <w:marRight w:val="0"/>
      <w:marTop w:val="0"/>
      <w:marBottom w:val="0"/>
      <w:divBdr>
        <w:top w:val="none" w:sz="0" w:space="0" w:color="auto"/>
        <w:left w:val="none" w:sz="0" w:space="0" w:color="auto"/>
        <w:bottom w:val="none" w:sz="0" w:space="0" w:color="auto"/>
        <w:right w:val="none" w:sz="0" w:space="0" w:color="auto"/>
      </w:divBdr>
      <w:divsChild>
        <w:div w:id="144712053">
          <w:marLeft w:val="720"/>
          <w:marRight w:val="0"/>
          <w:marTop w:val="96"/>
          <w:marBottom w:val="0"/>
          <w:divBdr>
            <w:top w:val="none" w:sz="0" w:space="0" w:color="auto"/>
            <w:left w:val="none" w:sz="0" w:space="0" w:color="auto"/>
            <w:bottom w:val="none" w:sz="0" w:space="0" w:color="auto"/>
            <w:right w:val="none" w:sz="0" w:space="0" w:color="auto"/>
          </w:divBdr>
        </w:div>
        <w:div w:id="1121537260">
          <w:marLeft w:val="720"/>
          <w:marRight w:val="0"/>
          <w:marTop w:val="96"/>
          <w:marBottom w:val="0"/>
          <w:divBdr>
            <w:top w:val="none" w:sz="0" w:space="0" w:color="auto"/>
            <w:left w:val="none" w:sz="0" w:space="0" w:color="auto"/>
            <w:bottom w:val="none" w:sz="0" w:space="0" w:color="auto"/>
            <w:right w:val="none" w:sz="0" w:space="0" w:color="auto"/>
          </w:divBdr>
        </w:div>
        <w:div w:id="1321498981">
          <w:marLeft w:val="720"/>
          <w:marRight w:val="0"/>
          <w:marTop w:val="96"/>
          <w:marBottom w:val="0"/>
          <w:divBdr>
            <w:top w:val="none" w:sz="0" w:space="0" w:color="auto"/>
            <w:left w:val="none" w:sz="0" w:space="0" w:color="auto"/>
            <w:bottom w:val="none" w:sz="0" w:space="0" w:color="auto"/>
            <w:right w:val="none" w:sz="0" w:space="0" w:color="auto"/>
          </w:divBdr>
        </w:div>
      </w:divsChild>
    </w:div>
    <w:div w:id="271254834">
      <w:bodyDiv w:val="1"/>
      <w:marLeft w:val="0"/>
      <w:marRight w:val="0"/>
      <w:marTop w:val="0"/>
      <w:marBottom w:val="0"/>
      <w:divBdr>
        <w:top w:val="none" w:sz="0" w:space="0" w:color="auto"/>
        <w:left w:val="none" w:sz="0" w:space="0" w:color="auto"/>
        <w:bottom w:val="none" w:sz="0" w:space="0" w:color="auto"/>
        <w:right w:val="none" w:sz="0" w:space="0" w:color="auto"/>
      </w:divBdr>
    </w:div>
    <w:div w:id="293415783">
      <w:bodyDiv w:val="1"/>
      <w:marLeft w:val="0"/>
      <w:marRight w:val="0"/>
      <w:marTop w:val="0"/>
      <w:marBottom w:val="0"/>
      <w:divBdr>
        <w:top w:val="none" w:sz="0" w:space="0" w:color="auto"/>
        <w:left w:val="none" w:sz="0" w:space="0" w:color="auto"/>
        <w:bottom w:val="none" w:sz="0" w:space="0" w:color="auto"/>
        <w:right w:val="none" w:sz="0" w:space="0" w:color="auto"/>
      </w:divBdr>
    </w:div>
    <w:div w:id="294602822">
      <w:bodyDiv w:val="1"/>
      <w:marLeft w:val="0"/>
      <w:marRight w:val="0"/>
      <w:marTop w:val="0"/>
      <w:marBottom w:val="0"/>
      <w:divBdr>
        <w:top w:val="none" w:sz="0" w:space="0" w:color="auto"/>
        <w:left w:val="none" w:sz="0" w:space="0" w:color="auto"/>
        <w:bottom w:val="none" w:sz="0" w:space="0" w:color="auto"/>
        <w:right w:val="none" w:sz="0" w:space="0" w:color="auto"/>
      </w:divBdr>
    </w:div>
    <w:div w:id="539517042">
      <w:bodyDiv w:val="1"/>
      <w:marLeft w:val="0"/>
      <w:marRight w:val="0"/>
      <w:marTop w:val="0"/>
      <w:marBottom w:val="0"/>
      <w:divBdr>
        <w:top w:val="none" w:sz="0" w:space="0" w:color="auto"/>
        <w:left w:val="none" w:sz="0" w:space="0" w:color="auto"/>
        <w:bottom w:val="none" w:sz="0" w:space="0" w:color="auto"/>
        <w:right w:val="none" w:sz="0" w:space="0" w:color="auto"/>
      </w:divBdr>
    </w:div>
    <w:div w:id="583758223">
      <w:bodyDiv w:val="1"/>
      <w:marLeft w:val="0"/>
      <w:marRight w:val="0"/>
      <w:marTop w:val="0"/>
      <w:marBottom w:val="0"/>
      <w:divBdr>
        <w:top w:val="none" w:sz="0" w:space="0" w:color="auto"/>
        <w:left w:val="none" w:sz="0" w:space="0" w:color="auto"/>
        <w:bottom w:val="none" w:sz="0" w:space="0" w:color="auto"/>
        <w:right w:val="none" w:sz="0" w:space="0" w:color="auto"/>
      </w:divBdr>
      <w:divsChild>
        <w:div w:id="549192053">
          <w:marLeft w:val="547"/>
          <w:marRight w:val="0"/>
          <w:marTop w:val="72"/>
          <w:marBottom w:val="0"/>
          <w:divBdr>
            <w:top w:val="none" w:sz="0" w:space="0" w:color="auto"/>
            <w:left w:val="none" w:sz="0" w:space="0" w:color="auto"/>
            <w:bottom w:val="none" w:sz="0" w:space="0" w:color="auto"/>
            <w:right w:val="none" w:sz="0" w:space="0" w:color="auto"/>
          </w:divBdr>
        </w:div>
        <w:div w:id="1901280866">
          <w:marLeft w:val="547"/>
          <w:marRight w:val="0"/>
          <w:marTop w:val="72"/>
          <w:marBottom w:val="0"/>
          <w:divBdr>
            <w:top w:val="none" w:sz="0" w:space="0" w:color="auto"/>
            <w:left w:val="none" w:sz="0" w:space="0" w:color="auto"/>
            <w:bottom w:val="none" w:sz="0" w:space="0" w:color="auto"/>
            <w:right w:val="none" w:sz="0" w:space="0" w:color="auto"/>
          </w:divBdr>
        </w:div>
        <w:div w:id="1627154096">
          <w:marLeft w:val="547"/>
          <w:marRight w:val="0"/>
          <w:marTop w:val="72"/>
          <w:marBottom w:val="0"/>
          <w:divBdr>
            <w:top w:val="none" w:sz="0" w:space="0" w:color="auto"/>
            <w:left w:val="none" w:sz="0" w:space="0" w:color="auto"/>
            <w:bottom w:val="none" w:sz="0" w:space="0" w:color="auto"/>
            <w:right w:val="none" w:sz="0" w:space="0" w:color="auto"/>
          </w:divBdr>
        </w:div>
      </w:divsChild>
    </w:div>
    <w:div w:id="606236500">
      <w:bodyDiv w:val="1"/>
      <w:marLeft w:val="0"/>
      <w:marRight w:val="0"/>
      <w:marTop w:val="0"/>
      <w:marBottom w:val="0"/>
      <w:divBdr>
        <w:top w:val="none" w:sz="0" w:space="0" w:color="auto"/>
        <w:left w:val="none" w:sz="0" w:space="0" w:color="auto"/>
        <w:bottom w:val="none" w:sz="0" w:space="0" w:color="auto"/>
        <w:right w:val="none" w:sz="0" w:space="0" w:color="auto"/>
      </w:divBdr>
      <w:divsChild>
        <w:div w:id="660428280">
          <w:marLeft w:val="1267"/>
          <w:marRight w:val="0"/>
          <w:marTop w:val="0"/>
          <w:marBottom w:val="0"/>
          <w:divBdr>
            <w:top w:val="none" w:sz="0" w:space="0" w:color="auto"/>
            <w:left w:val="none" w:sz="0" w:space="0" w:color="auto"/>
            <w:bottom w:val="none" w:sz="0" w:space="0" w:color="auto"/>
            <w:right w:val="none" w:sz="0" w:space="0" w:color="auto"/>
          </w:divBdr>
        </w:div>
      </w:divsChild>
    </w:div>
    <w:div w:id="634406313">
      <w:bodyDiv w:val="1"/>
      <w:marLeft w:val="0"/>
      <w:marRight w:val="0"/>
      <w:marTop w:val="0"/>
      <w:marBottom w:val="0"/>
      <w:divBdr>
        <w:top w:val="none" w:sz="0" w:space="0" w:color="auto"/>
        <w:left w:val="none" w:sz="0" w:space="0" w:color="auto"/>
        <w:bottom w:val="none" w:sz="0" w:space="0" w:color="auto"/>
        <w:right w:val="none" w:sz="0" w:space="0" w:color="auto"/>
      </w:divBdr>
    </w:div>
    <w:div w:id="651297001">
      <w:bodyDiv w:val="1"/>
      <w:marLeft w:val="0"/>
      <w:marRight w:val="0"/>
      <w:marTop w:val="0"/>
      <w:marBottom w:val="0"/>
      <w:divBdr>
        <w:top w:val="none" w:sz="0" w:space="0" w:color="auto"/>
        <w:left w:val="none" w:sz="0" w:space="0" w:color="auto"/>
        <w:bottom w:val="none" w:sz="0" w:space="0" w:color="auto"/>
        <w:right w:val="none" w:sz="0" w:space="0" w:color="auto"/>
      </w:divBdr>
    </w:div>
    <w:div w:id="708188885">
      <w:bodyDiv w:val="1"/>
      <w:marLeft w:val="0"/>
      <w:marRight w:val="0"/>
      <w:marTop w:val="0"/>
      <w:marBottom w:val="0"/>
      <w:divBdr>
        <w:top w:val="none" w:sz="0" w:space="0" w:color="auto"/>
        <w:left w:val="none" w:sz="0" w:space="0" w:color="auto"/>
        <w:bottom w:val="none" w:sz="0" w:space="0" w:color="auto"/>
        <w:right w:val="none" w:sz="0" w:space="0" w:color="auto"/>
      </w:divBdr>
    </w:div>
    <w:div w:id="853616718">
      <w:bodyDiv w:val="1"/>
      <w:marLeft w:val="0"/>
      <w:marRight w:val="0"/>
      <w:marTop w:val="0"/>
      <w:marBottom w:val="0"/>
      <w:divBdr>
        <w:top w:val="none" w:sz="0" w:space="0" w:color="auto"/>
        <w:left w:val="none" w:sz="0" w:space="0" w:color="auto"/>
        <w:bottom w:val="none" w:sz="0" w:space="0" w:color="auto"/>
        <w:right w:val="none" w:sz="0" w:space="0" w:color="auto"/>
      </w:divBdr>
    </w:div>
    <w:div w:id="923760647">
      <w:bodyDiv w:val="1"/>
      <w:marLeft w:val="0"/>
      <w:marRight w:val="0"/>
      <w:marTop w:val="0"/>
      <w:marBottom w:val="0"/>
      <w:divBdr>
        <w:top w:val="none" w:sz="0" w:space="0" w:color="auto"/>
        <w:left w:val="none" w:sz="0" w:space="0" w:color="auto"/>
        <w:bottom w:val="none" w:sz="0" w:space="0" w:color="auto"/>
        <w:right w:val="none" w:sz="0" w:space="0" w:color="auto"/>
      </w:divBdr>
    </w:div>
    <w:div w:id="976185603">
      <w:bodyDiv w:val="1"/>
      <w:marLeft w:val="0"/>
      <w:marRight w:val="0"/>
      <w:marTop w:val="0"/>
      <w:marBottom w:val="0"/>
      <w:divBdr>
        <w:top w:val="none" w:sz="0" w:space="0" w:color="auto"/>
        <w:left w:val="none" w:sz="0" w:space="0" w:color="auto"/>
        <w:bottom w:val="none" w:sz="0" w:space="0" w:color="auto"/>
        <w:right w:val="none" w:sz="0" w:space="0" w:color="auto"/>
      </w:divBdr>
    </w:div>
    <w:div w:id="1025598649">
      <w:bodyDiv w:val="1"/>
      <w:marLeft w:val="0"/>
      <w:marRight w:val="0"/>
      <w:marTop w:val="0"/>
      <w:marBottom w:val="0"/>
      <w:divBdr>
        <w:top w:val="none" w:sz="0" w:space="0" w:color="auto"/>
        <w:left w:val="none" w:sz="0" w:space="0" w:color="auto"/>
        <w:bottom w:val="none" w:sz="0" w:space="0" w:color="auto"/>
        <w:right w:val="none" w:sz="0" w:space="0" w:color="auto"/>
      </w:divBdr>
    </w:div>
    <w:div w:id="1057360801">
      <w:bodyDiv w:val="1"/>
      <w:marLeft w:val="0"/>
      <w:marRight w:val="0"/>
      <w:marTop w:val="0"/>
      <w:marBottom w:val="0"/>
      <w:divBdr>
        <w:top w:val="none" w:sz="0" w:space="0" w:color="auto"/>
        <w:left w:val="none" w:sz="0" w:space="0" w:color="auto"/>
        <w:bottom w:val="none" w:sz="0" w:space="0" w:color="auto"/>
        <w:right w:val="none" w:sz="0" w:space="0" w:color="auto"/>
      </w:divBdr>
    </w:div>
    <w:div w:id="1125926855">
      <w:bodyDiv w:val="1"/>
      <w:marLeft w:val="0"/>
      <w:marRight w:val="0"/>
      <w:marTop w:val="0"/>
      <w:marBottom w:val="0"/>
      <w:divBdr>
        <w:top w:val="none" w:sz="0" w:space="0" w:color="auto"/>
        <w:left w:val="none" w:sz="0" w:space="0" w:color="auto"/>
        <w:bottom w:val="none" w:sz="0" w:space="0" w:color="auto"/>
        <w:right w:val="none" w:sz="0" w:space="0" w:color="auto"/>
      </w:divBdr>
    </w:div>
    <w:div w:id="1138568889">
      <w:bodyDiv w:val="1"/>
      <w:marLeft w:val="0"/>
      <w:marRight w:val="0"/>
      <w:marTop w:val="0"/>
      <w:marBottom w:val="0"/>
      <w:divBdr>
        <w:top w:val="none" w:sz="0" w:space="0" w:color="auto"/>
        <w:left w:val="none" w:sz="0" w:space="0" w:color="auto"/>
        <w:bottom w:val="none" w:sz="0" w:space="0" w:color="auto"/>
        <w:right w:val="none" w:sz="0" w:space="0" w:color="auto"/>
      </w:divBdr>
      <w:divsChild>
        <w:div w:id="930774743">
          <w:marLeft w:val="720"/>
          <w:marRight w:val="0"/>
          <w:marTop w:val="101"/>
          <w:marBottom w:val="0"/>
          <w:divBdr>
            <w:top w:val="none" w:sz="0" w:space="0" w:color="auto"/>
            <w:left w:val="none" w:sz="0" w:space="0" w:color="auto"/>
            <w:bottom w:val="none" w:sz="0" w:space="0" w:color="auto"/>
            <w:right w:val="none" w:sz="0" w:space="0" w:color="auto"/>
          </w:divBdr>
        </w:div>
        <w:div w:id="1212301399">
          <w:marLeft w:val="720"/>
          <w:marRight w:val="0"/>
          <w:marTop w:val="101"/>
          <w:marBottom w:val="0"/>
          <w:divBdr>
            <w:top w:val="none" w:sz="0" w:space="0" w:color="auto"/>
            <w:left w:val="none" w:sz="0" w:space="0" w:color="auto"/>
            <w:bottom w:val="none" w:sz="0" w:space="0" w:color="auto"/>
            <w:right w:val="none" w:sz="0" w:space="0" w:color="auto"/>
          </w:divBdr>
        </w:div>
        <w:div w:id="1674794579">
          <w:marLeft w:val="720"/>
          <w:marRight w:val="0"/>
          <w:marTop w:val="101"/>
          <w:marBottom w:val="0"/>
          <w:divBdr>
            <w:top w:val="none" w:sz="0" w:space="0" w:color="auto"/>
            <w:left w:val="none" w:sz="0" w:space="0" w:color="auto"/>
            <w:bottom w:val="none" w:sz="0" w:space="0" w:color="auto"/>
            <w:right w:val="none" w:sz="0" w:space="0" w:color="auto"/>
          </w:divBdr>
        </w:div>
      </w:divsChild>
    </w:div>
    <w:div w:id="1197698170">
      <w:bodyDiv w:val="1"/>
      <w:marLeft w:val="0"/>
      <w:marRight w:val="0"/>
      <w:marTop w:val="0"/>
      <w:marBottom w:val="0"/>
      <w:divBdr>
        <w:top w:val="none" w:sz="0" w:space="0" w:color="auto"/>
        <w:left w:val="none" w:sz="0" w:space="0" w:color="auto"/>
        <w:bottom w:val="none" w:sz="0" w:space="0" w:color="auto"/>
        <w:right w:val="none" w:sz="0" w:space="0" w:color="auto"/>
      </w:divBdr>
      <w:divsChild>
        <w:div w:id="12846598">
          <w:marLeft w:val="1166"/>
          <w:marRight w:val="0"/>
          <w:marTop w:val="67"/>
          <w:marBottom w:val="0"/>
          <w:divBdr>
            <w:top w:val="none" w:sz="0" w:space="0" w:color="auto"/>
            <w:left w:val="none" w:sz="0" w:space="0" w:color="auto"/>
            <w:bottom w:val="none" w:sz="0" w:space="0" w:color="auto"/>
            <w:right w:val="none" w:sz="0" w:space="0" w:color="auto"/>
          </w:divBdr>
        </w:div>
        <w:div w:id="297489255">
          <w:marLeft w:val="1166"/>
          <w:marRight w:val="0"/>
          <w:marTop w:val="67"/>
          <w:marBottom w:val="0"/>
          <w:divBdr>
            <w:top w:val="none" w:sz="0" w:space="0" w:color="auto"/>
            <w:left w:val="none" w:sz="0" w:space="0" w:color="auto"/>
            <w:bottom w:val="none" w:sz="0" w:space="0" w:color="auto"/>
            <w:right w:val="none" w:sz="0" w:space="0" w:color="auto"/>
          </w:divBdr>
        </w:div>
        <w:div w:id="620188359">
          <w:marLeft w:val="1166"/>
          <w:marRight w:val="0"/>
          <w:marTop w:val="67"/>
          <w:marBottom w:val="0"/>
          <w:divBdr>
            <w:top w:val="none" w:sz="0" w:space="0" w:color="auto"/>
            <w:left w:val="none" w:sz="0" w:space="0" w:color="auto"/>
            <w:bottom w:val="none" w:sz="0" w:space="0" w:color="auto"/>
            <w:right w:val="none" w:sz="0" w:space="0" w:color="auto"/>
          </w:divBdr>
        </w:div>
        <w:div w:id="637034749">
          <w:marLeft w:val="547"/>
          <w:marRight w:val="0"/>
          <w:marTop w:val="86"/>
          <w:marBottom w:val="0"/>
          <w:divBdr>
            <w:top w:val="none" w:sz="0" w:space="0" w:color="auto"/>
            <w:left w:val="none" w:sz="0" w:space="0" w:color="auto"/>
            <w:bottom w:val="none" w:sz="0" w:space="0" w:color="auto"/>
            <w:right w:val="none" w:sz="0" w:space="0" w:color="auto"/>
          </w:divBdr>
        </w:div>
        <w:div w:id="753160222">
          <w:marLeft w:val="1166"/>
          <w:marRight w:val="0"/>
          <w:marTop w:val="67"/>
          <w:marBottom w:val="0"/>
          <w:divBdr>
            <w:top w:val="none" w:sz="0" w:space="0" w:color="auto"/>
            <w:left w:val="none" w:sz="0" w:space="0" w:color="auto"/>
            <w:bottom w:val="none" w:sz="0" w:space="0" w:color="auto"/>
            <w:right w:val="none" w:sz="0" w:space="0" w:color="auto"/>
          </w:divBdr>
        </w:div>
        <w:div w:id="1650282622">
          <w:marLeft w:val="1166"/>
          <w:marRight w:val="0"/>
          <w:marTop w:val="67"/>
          <w:marBottom w:val="0"/>
          <w:divBdr>
            <w:top w:val="none" w:sz="0" w:space="0" w:color="auto"/>
            <w:left w:val="none" w:sz="0" w:space="0" w:color="auto"/>
            <w:bottom w:val="none" w:sz="0" w:space="0" w:color="auto"/>
            <w:right w:val="none" w:sz="0" w:space="0" w:color="auto"/>
          </w:divBdr>
        </w:div>
      </w:divsChild>
    </w:div>
    <w:div w:id="1221670836">
      <w:bodyDiv w:val="1"/>
      <w:marLeft w:val="0"/>
      <w:marRight w:val="0"/>
      <w:marTop w:val="0"/>
      <w:marBottom w:val="0"/>
      <w:divBdr>
        <w:top w:val="none" w:sz="0" w:space="0" w:color="auto"/>
        <w:left w:val="none" w:sz="0" w:space="0" w:color="auto"/>
        <w:bottom w:val="none" w:sz="0" w:space="0" w:color="auto"/>
        <w:right w:val="none" w:sz="0" w:space="0" w:color="auto"/>
      </w:divBdr>
    </w:div>
    <w:div w:id="1280408272">
      <w:bodyDiv w:val="1"/>
      <w:marLeft w:val="0"/>
      <w:marRight w:val="0"/>
      <w:marTop w:val="0"/>
      <w:marBottom w:val="0"/>
      <w:divBdr>
        <w:top w:val="none" w:sz="0" w:space="0" w:color="auto"/>
        <w:left w:val="none" w:sz="0" w:space="0" w:color="auto"/>
        <w:bottom w:val="none" w:sz="0" w:space="0" w:color="auto"/>
        <w:right w:val="none" w:sz="0" w:space="0" w:color="auto"/>
      </w:divBdr>
    </w:div>
    <w:div w:id="1340696901">
      <w:bodyDiv w:val="1"/>
      <w:marLeft w:val="0"/>
      <w:marRight w:val="0"/>
      <w:marTop w:val="0"/>
      <w:marBottom w:val="0"/>
      <w:divBdr>
        <w:top w:val="none" w:sz="0" w:space="0" w:color="auto"/>
        <w:left w:val="none" w:sz="0" w:space="0" w:color="auto"/>
        <w:bottom w:val="none" w:sz="0" w:space="0" w:color="auto"/>
        <w:right w:val="none" w:sz="0" w:space="0" w:color="auto"/>
      </w:divBdr>
      <w:divsChild>
        <w:div w:id="157621106">
          <w:marLeft w:val="1267"/>
          <w:marRight w:val="0"/>
          <w:marTop w:val="0"/>
          <w:marBottom w:val="0"/>
          <w:divBdr>
            <w:top w:val="none" w:sz="0" w:space="0" w:color="auto"/>
            <w:left w:val="none" w:sz="0" w:space="0" w:color="auto"/>
            <w:bottom w:val="none" w:sz="0" w:space="0" w:color="auto"/>
            <w:right w:val="none" w:sz="0" w:space="0" w:color="auto"/>
          </w:divBdr>
        </w:div>
        <w:div w:id="1871333304">
          <w:marLeft w:val="1267"/>
          <w:marRight w:val="0"/>
          <w:marTop w:val="0"/>
          <w:marBottom w:val="0"/>
          <w:divBdr>
            <w:top w:val="none" w:sz="0" w:space="0" w:color="auto"/>
            <w:left w:val="none" w:sz="0" w:space="0" w:color="auto"/>
            <w:bottom w:val="none" w:sz="0" w:space="0" w:color="auto"/>
            <w:right w:val="none" w:sz="0" w:space="0" w:color="auto"/>
          </w:divBdr>
        </w:div>
        <w:div w:id="2132480367">
          <w:marLeft w:val="1267"/>
          <w:marRight w:val="0"/>
          <w:marTop w:val="0"/>
          <w:marBottom w:val="0"/>
          <w:divBdr>
            <w:top w:val="none" w:sz="0" w:space="0" w:color="auto"/>
            <w:left w:val="none" w:sz="0" w:space="0" w:color="auto"/>
            <w:bottom w:val="none" w:sz="0" w:space="0" w:color="auto"/>
            <w:right w:val="none" w:sz="0" w:space="0" w:color="auto"/>
          </w:divBdr>
        </w:div>
      </w:divsChild>
    </w:div>
    <w:div w:id="1454055912">
      <w:bodyDiv w:val="1"/>
      <w:marLeft w:val="0"/>
      <w:marRight w:val="0"/>
      <w:marTop w:val="0"/>
      <w:marBottom w:val="0"/>
      <w:divBdr>
        <w:top w:val="none" w:sz="0" w:space="0" w:color="auto"/>
        <w:left w:val="none" w:sz="0" w:space="0" w:color="auto"/>
        <w:bottom w:val="none" w:sz="0" w:space="0" w:color="auto"/>
        <w:right w:val="none" w:sz="0" w:space="0" w:color="auto"/>
      </w:divBdr>
    </w:div>
    <w:div w:id="1520462879">
      <w:bodyDiv w:val="1"/>
      <w:marLeft w:val="0"/>
      <w:marRight w:val="0"/>
      <w:marTop w:val="0"/>
      <w:marBottom w:val="0"/>
      <w:divBdr>
        <w:top w:val="none" w:sz="0" w:space="0" w:color="auto"/>
        <w:left w:val="none" w:sz="0" w:space="0" w:color="auto"/>
        <w:bottom w:val="none" w:sz="0" w:space="0" w:color="auto"/>
        <w:right w:val="none" w:sz="0" w:space="0" w:color="auto"/>
      </w:divBdr>
    </w:div>
    <w:div w:id="1609194362">
      <w:bodyDiv w:val="1"/>
      <w:marLeft w:val="0"/>
      <w:marRight w:val="0"/>
      <w:marTop w:val="0"/>
      <w:marBottom w:val="0"/>
      <w:divBdr>
        <w:top w:val="none" w:sz="0" w:space="0" w:color="auto"/>
        <w:left w:val="none" w:sz="0" w:space="0" w:color="auto"/>
        <w:bottom w:val="none" w:sz="0" w:space="0" w:color="auto"/>
        <w:right w:val="none" w:sz="0" w:space="0" w:color="auto"/>
      </w:divBdr>
    </w:div>
    <w:div w:id="1651863180">
      <w:bodyDiv w:val="1"/>
      <w:marLeft w:val="0"/>
      <w:marRight w:val="0"/>
      <w:marTop w:val="0"/>
      <w:marBottom w:val="0"/>
      <w:divBdr>
        <w:top w:val="none" w:sz="0" w:space="0" w:color="auto"/>
        <w:left w:val="none" w:sz="0" w:space="0" w:color="auto"/>
        <w:bottom w:val="none" w:sz="0" w:space="0" w:color="auto"/>
        <w:right w:val="none" w:sz="0" w:space="0" w:color="auto"/>
      </w:divBdr>
    </w:div>
    <w:div w:id="1721830740">
      <w:bodyDiv w:val="1"/>
      <w:marLeft w:val="0"/>
      <w:marRight w:val="0"/>
      <w:marTop w:val="0"/>
      <w:marBottom w:val="0"/>
      <w:divBdr>
        <w:top w:val="none" w:sz="0" w:space="0" w:color="auto"/>
        <w:left w:val="none" w:sz="0" w:space="0" w:color="auto"/>
        <w:bottom w:val="none" w:sz="0" w:space="0" w:color="auto"/>
        <w:right w:val="none" w:sz="0" w:space="0" w:color="auto"/>
      </w:divBdr>
    </w:div>
    <w:div w:id="1959607488">
      <w:bodyDiv w:val="1"/>
      <w:marLeft w:val="0"/>
      <w:marRight w:val="0"/>
      <w:marTop w:val="0"/>
      <w:marBottom w:val="0"/>
      <w:divBdr>
        <w:top w:val="none" w:sz="0" w:space="0" w:color="auto"/>
        <w:left w:val="none" w:sz="0" w:space="0" w:color="auto"/>
        <w:bottom w:val="none" w:sz="0" w:space="0" w:color="auto"/>
        <w:right w:val="none" w:sz="0" w:space="0" w:color="auto"/>
      </w:divBdr>
    </w:div>
    <w:div w:id="2000844258">
      <w:bodyDiv w:val="1"/>
      <w:marLeft w:val="0"/>
      <w:marRight w:val="0"/>
      <w:marTop w:val="0"/>
      <w:marBottom w:val="0"/>
      <w:divBdr>
        <w:top w:val="none" w:sz="0" w:space="0" w:color="auto"/>
        <w:left w:val="none" w:sz="0" w:space="0" w:color="auto"/>
        <w:bottom w:val="none" w:sz="0" w:space="0" w:color="auto"/>
        <w:right w:val="none" w:sz="0" w:space="0" w:color="auto"/>
      </w:divBdr>
    </w:div>
    <w:div w:id="2055352080">
      <w:bodyDiv w:val="1"/>
      <w:marLeft w:val="0"/>
      <w:marRight w:val="0"/>
      <w:marTop w:val="0"/>
      <w:marBottom w:val="0"/>
      <w:divBdr>
        <w:top w:val="none" w:sz="0" w:space="0" w:color="auto"/>
        <w:left w:val="none" w:sz="0" w:space="0" w:color="auto"/>
        <w:bottom w:val="none" w:sz="0" w:space="0" w:color="auto"/>
        <w:right w:val="none" w:sz="0" w:space="0" w:color="auto"/>
      </w:divBdr>
    </w:div>
    <w:div w:id="2061590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file:///C:/Users/asia/Downloads/Rozporzadzenie_Komisji_UE_nr_651_2014_z_dnia_17_czerwca_2014_r.pdf"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archiwum.kujawsko-pomorskie.pl/pliki/wiadomosci/zit/dokumenty/Regionalny_Program_Operacyjny_Wojewodztwa_Kujawsko-Pomorskiego_v3_0.pdf" TargetMode="External"/><Relationship Id="rId2" Type="http://schemas.openxmlformats.org/officeDocument/2006/relationships/hyperlink" Target="http://archiwum.kujawsko-pomorskie.pl/pliki/wiadomosci/zit/dokumenty/Regionalny_Program_Operacyjny_Wojewodztwa_Kujawsko-Pomorskiego_v3_0.pdf" TargetMode="External"/><Relationship Id="rId1" Type="http://schemas.openxmlformats.org/officeDocument/2006/relationships/hyperlink" Target="mailto:j.kawa@nexum.ne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C2E18E8D-4BB8-4C0C-94D0-93F6FBB85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5363</Words>
  <Characters>32178</Characters>
  <Application>Microsoft Office Word</Application>
  <DocSecurity>0</DocSecurity>
  <Lines>268</Lines>
  <Paragraphs>74</Paragraphs>
  <ScaleCrop>false</ScaleCrop>
  <HeadingPairs>
    <vt:vector size="2" baseType="variant">
      <vt:variant>
        <vt:lpstr>Tytuł</vt:lpstr>
      </vt:variant>
      <vt:variant>
        <vt:i4>1</vt:i4>
      </vt:variant>
    </vt:vector>
  </HeadingPairs>
  <TitlesOfParts>
    <vt:vector size="1" baseType="lpstr">
      <vt:lpstr/>
    </vt:vector>
  </TitlesOfParts>
  <Company>Windows User</Company>
  <LinksUpToDate>false</LinksUpToDate>
  <CharactersWithSpaces>37467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asia</dc:creator>
  <cp:lastModifiedBy>Klient</cp:lastModifiedBy>
  <cp:revision>2</cp:revision>
  <dcterms:created xsi:type="dcterms:W3CDTF">2015-09-10T12:46:00Z</dcterms:created>
  <dcterms:modified xsi:type="dcterms:W3CDTF">2015-09-10T12:46:00Z</dcterms:modified>
</cp:coreProperties>
</file>